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中山市西区街道居家社区养老服务资助标准（</w:t>
      </w:r>
      <w:r>
        <w:rPr>
          <w:rFonts w:hint="eastAsia" w:ascii="Times New Roman" w:hAnsi="Times New Roman" w:eastAsia="方正小标宋简体" w:cs="Times New Roman"/>
          <w:color w:val="auto"/>
          <w:sz w:val="44"/>
          <w:szCs w:val="44"/>
          <w:lang w:val="en-US" w:eastAsia="zh-CN"/>
        </w:rPr>
        <w:t>2024年修订</w:t>
      </w:r>
      <w:r>
        <w:rPr>
          <w:rFonts w:hint="default" w:ascii="Times New Roman" w:hAnsi="Times New Roman" w:eastAsia="方正小标宋简体" w:cs="Times New Roman"/>
          <w:color w:val="auto"/>
          <w:sz w:val="44"/>
          <w:szCs w:val="44"/>
          <w:lang w:val="en-US" w:eastAsia="zh-CN"/>
        </w:rPr>
        <w:t>）</w:t>
      </w:r>
      <w:r>
        <w:rPr>
          <w:rFonts w:hint="eastAsia" w:ascii="Times New Roman" w:hAnsi="Times New Roman" w:eastAsia="方正小标宋简体" w:cs="Times New Roman"/>
          <w:color w:val="auto"/>
          <w:sz w:val="44"/>
          <w:szCs w:val="44"/>
          <w:lang w:val="en-US" w:eastAsia="zh-CN"/>
        </w:rPr>
        <w:t>（征求意见稿）</w:t>
      </w:r>
    </w:p>
    <w:p>
      <w:pPr>
        <w:ind w:firstLine="640" w:firstLineChars="200"/>
        <w:jc w:val="left"/>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一、居家社区养老服务资助标准</w:t>
      </w:r>
    </w:p>
    <w:tbl>
      <w:tblPr>
        <w:tblStyle w:val="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664"/>
        <w:gridCol w:w="4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top"/>
          </w:tcPr>
          <w:p>
            <w:pPr>
              <w:jc w:val="center"/>
              <w:rPr>
                <w:rFonts w:hint="default" w:ascii="Times New Roman" w:hAnsi="Times New Roman" w:eastAsia="仿宋_GB2312" w:cs="Times New Roman"/>
                <w:b/>
                <w:bCs/>
                <w:color w:val="auto"/>
                <w:sz w:val="30"/>
                <w:szCs w:val="30"/>
                <w:vertAlign w:val="baseline"/>
                <w:lang w:val="en-US" w:eastAsia="zh-CN"/>
              </w:rPr>
            </w:pPr>
            <w:r>
              <w:rPr>
                <w:rFonts w:hint="default" w:ascii="Times New Roman" w:hAnsi="Times New Roman" w:eastAsia="仿宋_GB2312" w:cs="Times New Roman"/>
                <w:b/>
                <w:bCs/>
                <w:color w:val="auto"/>
                <w:sz w:val="30"/>
                <w:szCs w:val="30"/>
                <w:vertAlign w:val="baseline"/>
                <w:lang w:val="en-US" w:eastAsia="zh-CN"/>
              </w:rPr>
              <w:t>序号</w:t>
            </w:r>
          </w:p>
        </w:tc>
        <w:tc>
          <w:tcPr>
            <w:tcW w:w="3664" w:type="dxa"/>
            <w:noWrap w:val="0"/>
            <w:vAlign w:val="top"/>
          </w:tcPr>
          <w:p>
            <w:pPr>
              <w:jc w:val="center"/>
              <w:rPr>
                <w:rFonts w:hint="default" w:ascii="Times New Roman" w:hAnsi="Times New Roman" w:eastAsia="仿宋_GB2312" w:cs="Times New Roman"/>
                <w:b/>
                <w:bCs/>
                <w:color w:val="auto"/>
                <w:sz w:val="30"/>
                <w:szCs w:val="30"/>
                <w:vertAlign w:val="baseline"/>
                <w:lang w:val="en-US" w:eastAsia="zh-CN"/>
              </w:rPr>
            </w:pPr>
            <w:r>
              <w:rPr>
                <w:rFonts w:hint="default" w:ascii="Times New Roman" w:hAnsi="Times New Roman" w:eastAsia="仿宋_GB2312" w:cs="Times New Roman"/>
                <w:b/>
                <w:bCs/>
                <w:color w:val="auto"/>
                <w:sz w:val="30"/>
                <w:szCs w:val="30"/>
                <w:vertAlign w:val="baseline"/>
                <w:lang w:val="en-US" w:eastAsia="zh-CN"/>
              </w:rPr>
              <w:t>资助对象</w:t>
            </w:r>
          </w:p>
        </w:tc>
        <w:tc>
          <w:tcPr>
            <w:tcW w:w="4365" w:type="dxa"/>
            <w:noWrap w:val="0"/>
            <w:vAlign w:val="top"/>
          </w:tcPr>
          <w:p>
            <w:pPr>
              <w:jc w:val="center"/>
              <w:rPr>
                <w:rFonts w:hint="default" w:ascii="Times New Roman" w:hAnsi="Times New Roman" w:eastAsia="仿宋_GB2312" w:cs="Times New Roman"/>
                <w:b/>
                <w:bCs/>
                <w:color w:val="auto"/>
                <w:sz w:val="30"/>
                <w:szCs w:val="30"/>
                <w:vertAlign w:val="baseline"/>
                <w:lang w:val="en-US" w:eastAsia="zh-CN"/>
              </w:rPr>
            </w:pPr>
            <w:r>
              <w:rPr>
                <w:rFonts w:hint="default" w:ascii="Times New Roman" w:hAnsi="Times New Roman" w:eastAsia="仿宋_GB2312" w:cs="Times New Roman"/>
                <w:b/>
                <w:bCs/>
                <w:color w:val="auto"/>
                <w:sz w:val="30"/>
                <w:szCs w:val="30"/>
                <w:vertAlign w:val="baseline"/>
                <w:lang w:val="en-US" w:eastAsia="zh-CN"/>
              </w:rPr>
              <w:t>资助标准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873" w:type="dxa"/>
            <w:noWrap w:val="0"/>
            <w:vAlign w:val="center"/>
          </w:tcPr>
          <w:p>
            <w:pPr>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1</w:t>
            </w:r>
          </w:p>
        </w:tc>
        <w:tc>
          <w:tcPr>
            <w:tcW w:w="3664" w:type="dxa"/>
            <w:noWrap w:val="0"/>
            <w:vAlign w:val="center"/>
          </w:tcPr>
          <w:p>
            <w:pPr>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政府分散供养的特困老年人</w:t>
            </w:r>
          </w:p>
        </w:tc>
        <w:tc>
          <w:tcPr>
            <w:tcW w:w="4365" w:type="dxa"/>
            <w:noWrap w:val="0"/>
            <w:vAlign w:val="center"/>
          </w:tcPr>
          <w:p>
            <w:pPr>
              <w:jc w:val="both"/>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①80周岁及以上：不低于100元/月/人，不超过500元/月/人；</w:t>
            </w:r>
          </w:p>
          <w:p>
            <w:pPr>
              <w:jc w:val="both"/>
              <w:rPr>
                <w:rFonts w:hint="eastAsia"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②轻度失能：不低于100元/月/人，不超过1000元/月/人</w:t>
            </w:r>
            <w:r>
              <w:rPr>
                <w:rFonts w:hint="eastAsia"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w:t>
            </w:r>
          </w:p>
          <w:p>
            <w:pPr>
              <w:jc w:val="both"/>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③中度失能：不低于1200元/月/人，不超过2500元/月/人；</w:t>
            </w:r>
          </w:p>
          <w:p>
            <w:pPr>
              <w:jc w:val="both"/>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④重度失能：不低于1900元/月/人，不超过3500元/月/人。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2</w:t>
            </w:r>
          </w:p>
        </w:tc>
        <w:tc>
          <w:tcPr>
            <w:tcW w:w="3664" w:type="dxa"/>
            <w:noWrap w:val="0"/>
            <w:vAlign w:val="center"/>
          </w:tcPr>
          <w:p>
            <w:pPr>
              <w:jc w:val="both"/>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低保家庭、低保边缘家庭、支出型困难家庭中的高龄或失能老年人</w:t>
            </w:r>
          </w:p>
        </w:tc>
        <w:tc>
          <w:tcPr>
            <w:tcW w:w="4365" w:type="dxa"/>
            <w:noWrap w:val="0"/>
            <w:vAlign w:val="center"/>
          </w:tcPr>
          <w:p>
            <w:pPr>
              <w:jc w:val="both"/>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①80周岁及以上：不低于100元/月/人，不超过500元/月/人；</w:t>
            </w:r>
          </w:p>
          <w:p>
            <w:pPr>
              <w:jc w:val="both"/>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②轻度失能：不低于100元/月/人，不超过500元/月/人</w:t>
            </w:r>
            <w:r>
              <w:rPr>
                <w:rFonts w:hint="eastAsia"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w:t>
            </w:r>
          </w:p>
          <w:p>
            <w:pPr>
              <w:jc w:val="both"/>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③中度失能：不低于1000元/月/人，不超过2100元/月/人；</w:t>
            </w:r>
          </w:p>
          <w:p>
            <w:pPr>
              <w:jc w:val="both"/>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④重度失能：不低于1500元/月/人，不超过3000元/月/人。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top"/>
          </w:tcPr>
          <w:p>
            <w:pPr>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3</w:t>
            </w:r>
          </w:p>
        </w:tc>
        <w:tc>
          <w:tcPr>
            <w:tcW w:w="3664" w:type="dxa"/>
            <w:noWrap w:val="0"/>
            <w:vAlign w:val="top"/>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市级以上劳动模范中的孤寡老年人</w:t>
            </w:r>
          </w:p>
        </w:tc>
        <w:tc>
          <w:tcPr>
            <w:tcW w:w="4365" w:type="dxa"/>
            <w:vMerge w:val="restart"/>
            <w:noWrap w:val="0"/>
            <w:vAlign w:val="center"/>
          </w:tcPr>
          <w:p>
            <w:pPr>
              <w:jc w:val="both"/>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①轻度失能：不低于100元/月/人，不超过500元/月/人</w:t>
            </w:r>
            <w:r>
              <w:rPr>
                <w:rFonts w:hint="eastAsia"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w:t>
            </w:r>
          </w:p>
          <w:p>
            <w:pPr>
              <w:jc w:val="both"/>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②中度失能：不低于350元/月/人，不超过1100元/月/人；</w:t>
            </w:r>
          </w:p>
          <w:p>
            <w:pPr>
              <w:jc w:val="both"/>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③重度失能：不低于600元/月/人，不超过2100元/月/人。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top"/>
          </w:tcPr>
          <w:p>
            <w:pPr>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4</w:t>
            </w:r>
          </w:p>
        </w:tc>
        <w:tc>
          <w:tcPr>
            <w:tcW w:w="3664" w:type="dxa"/>
            <w:noWrap w:val="0"/>
            <w:vAlign w:val="top"/>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三级以上伤残军人中的老年人</w:t>
            </w:r>
          </w:p>
        </w:tc>
        <w:tc>
          <w:tcPr>
            <w:tcW w:w="4365" w:type="dxa"/>
            <w:vMerge w:val="continue"/>
            <w:noWrap w:val="0"/>
            <w:vAlign w:val="top"/>
          </w:tcPr>
          <w:p>
            <w:pPr>
              <w:jc w:val="left"/>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top"/>
          </w:tcPr>
          <w:p>
            <w:pPr>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5</w:t>
            </w:r>
          </w:p>
        </w:tc>
        <w:tc>
          <w:tcPr>
            <w:tcW w:w="3664" w:type="dxa"/>
            <w:noWrap w:val="0"/>
            <w:vAlign w:val="top"/>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享受国家定期抚恤补助优抚对象中的孤寡老年人</w:t>
            </w:r>
          </w:p>
        </w:tc>
        <w:tc>
          <w:tcPr>
            <w:tcW w:w="4365" w:type="dxa"/>
            <w:vMerge w:val="continue"/>
            <w:noWrap w:val="0"/>
            <w:vAlign w:val="top"/>
          </w:tcPr>
          <w:p>
            <w:pPr>
              <w:jc w:val="left"/>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top"/>
          </w:tcPr>
          <w:p>
            <w:pPr>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6</w:t>
            </w:r>
          </w:p>
        </w:tc>
        <w:tc>
          <w:tcPr>
            <w:tcW w:w="3664" w:type="dxa"/>
            <w:noWrap w:val="0"/>
            <w:vAlign w:val="top"/>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获得《独生子女父母光荣证》或相关部门证明，独生子女发生意外伤残、死亡的失能老年人</w:t>
            </w:r>
          </w:p>
        </w:tc>
        <w:tc>
          <w:tcPr>
            <w:tcW w:w="4365" w:type="dxa"/>
            <w:vMerge w:val="continue"/>
            <w:noWrap w:val="0"/>
            <w:vAlign w:val="top"/>
          </w:tcPr>
          <w:p>
            <w:pPr>
              <w:jc w:val="left"/>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873" w:type="dxa"/>
            <w:noWrap w:val="0"/>
            <w:vAlign w:val="top"/>
          </w:tcPr>
          <w:p>
            <w:pPr>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7</w:t>
            </w:r>
          </w:p>
        </w:tc>
        <w:tc>
          <w:tcPr>
            <w:tcW w:w="3664" w:type="dxa"/>
            <w:noWrap w:val="0"/>
            <w:vAlign w:val="top"/>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困难空巢失能老年人</w:t>
            </w:r>
          </w:p>
        </w:tc>
        <w:tc>
          <w:tcPr>
            <w:tcW w:w="4365" w:type="dxa"/>
            <w:vMerge w:val="restart"/>
            <w:noWrap w:val="0"/>
            <w:vAlign w:val="center"/>
          </w:tcPr>
          <w:p>
            <w:pPr>
              <w:jc w:val="both"/>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①中度失能：不低于300元/月/人，不超过1000元/月/人；</w:t>
            </w:r>
          </w:p>
          <w:p>
            <w:pPr>
              <w:jc w:val="both"/>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②重度失能：不低于500元/月/人，不超过1600元/月/人。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top"/>
          </w:tcPr>
          <w:p>
            <w:pPr>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8</w:t>
            </w:r>
          </w:p>
        </w:tc>
        <w:tc>
          <w:tcPr>
            <w:tcW w:w="3664" w:type="dxa"/>
            <w:noWrap w:val="0"/>
            <w:vAlign w:val="top"/>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其他边缘困难老年人</w:t>
            </w:r>
          </w:p>
        </w:tc>
        <w:tc>
          <w:tcPr>
            <w:tcW w:w="4365" w:type="dxa"/>
            <w:vMerge w:val="continue"/>
            <w:noWrap w:val="0"/>
            <w:vAlign w:val="top"/>
          </w:tcPr>
          <w:p>
            <w:pPr>
              <w:jc w:val="left"/>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top"/>
          </w:tcPr>
          <w:p>
            <w:pPr>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9</w:t>
            </w:r>
          </w:p>
        </w:tc>
        <w:tc>
          <w:tcPr>
            <w:tcW w:w="3664" w:type="dxa"/>
            <w:noWrap w:val="0"/>
            <w:vAlign w:val="top"/>
          </w:tcPr>
          <w:p>
            <w:pPr>
              <w:jc w:val="left"/>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r>
              <w:rPr>
                <w:rFonts w:hint="eastAsia" w:ascii="Times New Roman" w:hAnsi="Times New Roman" w:eastAsia="仿宋_GB2312" w:cs="Times New Roman"/>
                <w:i w:val="0"/>
                <w:iCs w:val="0"/>
                <w:caps w:val="0"/>
                <w:color w:val="auto"/>
                <w:spacing w:val="0"/>
                <w:sz w:val="28"/>
                <w:szCs w:val="28"/>
                <w:highlight w:val="none"/>
                <w:u w:val="none"/>
                <w:shd w:val="clear" w:color="auto" w:fill="FFFFFF"/>
                <w:lang w:val="en-US" w:eastAsia="zh-CN"/>
              </w:rPr>
              <w:t>常住本街道的港澳籍困难失能老年人</w:t>
            </w:r>
          </w:p>
        </w:tc>
        <w:tc>
          <w:tcPr>
            <w:tcW w:w="4365" w:type="dxa"/>
            <w:vMerge w:val="continue"/>
            <w:noWrap w:val="0"/>
            <w:vAlign w:val="top"/>
          </w:tcPr>
          <w:p>
            <w:pPr>
              <w:jc w:val="left"/>
              <w:rPr>
                <w:rFonts w:hint="default" w:ascii="Times New Roman" w:hAnsi="Times New Roman" w:eastAsia="仿宋_GB2312" w:cs="Times New Roman"/>
                <w:i w:val="0"/>
                <w:iCs w:val="0"/>
                <w:caps w:val="0"/>
                <w:color w:val="auto"/>
                <w:spacing w:val="0"/>
                <w:sz w:val="28"/>
                <w:szCs w:val="28"/>
                <w:highlight w:val="none"/>
                <w:u w:val="none"/>
                <w:shd w:val="clear" w:color="auto" w:fill="FFFFFF"/>
                <w:lang w:val="en-US" w:eastAsia="zh-CN"/>
              </w:rPr>
            </w:pPr>
          </w:p>
        </w:tc>
      </w:tr>
    </w:tbl>
    <w:p>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注：</w:t>
      </w:r>
    </w:p>
    <w:p>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同时符合两项及以上资助条件的，按照较高的资助标准确定。养老服务与重度残疾护理补贴，按照就高的原则，不重复享受；养老服务与特困人员照料护理按就高原则享受，标准相同时，按现行特困人员救助供养政策享受。</w:t>
      </w:r>
    </w:p>
    <w:p>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2.确定所属资助对象类别后，资助标准范围的确定以资助对象的《老年人能力评估报告》中的能力等级评定和评估机构的建议服务时数为依据。</w:t>
      </w:r>
    </w:p>
    <w:p>
      <w:pPr>
        <w:pStyle w:val="2"/>
        <w:rPr>
          <w:rFonts w:hint="default"/>
          <w:lang w:val="en-US" w:eastAsia="zh-CN"/>
        </w:rPr>
      </w:pPr>
      <w:r>
        <w:rPr>
          <w:rFonts w:hint="eastAsia" w:ascii="Times New Roman" w:hAnsi="Times New Roman" w:eastAsia="仿宋_GB2312" w:cs="Times New Roman"/>
          <w:color w:val="auto"/>
          <w:sz w:val="28"/>
          <w:szCs w:val="28"/>
          <w:lang w:val="en-US" w:eastAsia="zh-CN"/>
        </w:rPr>
        <w:t>3、被评定为完全失能等级的居家养老服务资助对象与重度失能等级对象享受同等资助待遇。</w:t>
      </w:r>
    </w:p>
    <w:p>
      <w:pPr>
        <w:numPr>
          <w:ilvl w:val="0"/>
          <w:numId w:val="0"/>
        </w:numPr>
        <w:ind w:firstLine="640" w:firstLineChars="200"/>
        <w:jc w:val="left"/>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二、资助标准施行时间</w:t>
      </w:r>
    </w:p>
    <w:p>
      <w:pPr>
        <w:numPr>
          <w:ilvl w:val="0"/>
          <w:numId w:val="0"/>
        </w:numPr>
        <w:jc w:val="left"/>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32"/>
          <w:szCs w:val="32"/>
          <w:lang w:val="en-US" w:eastAsia="zh-CN"/>
        </w:rPr>
        <w:t xml:space="preserve"> 本资助标准自印发之日起施行，有效期</w:t>
      </w:r>
      <w:r>
        <w:rPr>
          <w:rFonts w:hint="eastAsia" w:ascii="Times New Roman" w:hAnsi="Times New Roman" w:eastAsia="仿宋_GB2312" w:cs="Times New Roman"/>
          <w:color w:val="auto"/>
          <w:sz w:val="32"/>
          <w:szCs w:val="32"/>
          <w:lang w:val="en-US" w:eastAsia="zh-CN"/>
        </w:rPr>
        <w:t>5</w:t>
      </w:r>
      <w:bookmarkStart w:id="0" w:name="_GoBack"/>
      <w:bookmarkEnd w:id="0"/>
      <w:r>
        <w:rPr>
          <w:rFonts w:hint="default" w:ascii="Times New Roman" w:hAnsi="Times New Roman" w:eastAsia="仿宋_GB2312" w:cs="Times New Roman"/>
          <w:color w:val="auto"/>
          <w:sz w:val="32"/>
          <w:szCs w:val="32"/>
          <w:lang w:val="en-US" w:eastAsia="zh-CN"/>
        </w:rPr>
        <w:t>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56FBE"/>
    <w:rsid w:val="0ADA0E77"/>
    <w:rsid w:val="13956FBE"/>
    <w:rsid w:val="21CD0C84"/>
    <w:rsid w:val="2DE61AFE"/>
    <w:rsid w:val="602C62A0"/>
    <w:rsid w:val="62970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lang w:val="en-US" w:eastAsia="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中山市人民政府西区街道办事处</Company>
  <Pages>1</Pages>
  <Words>0</Words>
  <Characters>0</Characters>
  <Lines>0</Lines>
  <Paragraphs>0</Paragraphs>
  <TotalTime>15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2024-06-04T02:25:00Z</dcterms:created>
  <dc:creator>阮斯频</dc:creator>
  <cp:lastModifiedBy>阮斯频</cp:lastModifiedBy>
  <dcterms:modified xsi:type="dcterms:W3CDTF">2024-06-05T00:44:05Z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5648E0A35457423DA062A479D1DA9522</vt:lpwstr>
  </property>
</Properties>
</file>