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微软雅黑" w:hAnsi="微软雅黑" w:eastAsia="微软雅黑" w:cs="微软雅黑"/>
          <w:b/>
          <w:bCs/>
          <w:sz w:val="40"/>
          <w:szCs w:val="36"/>
        </w:rPr>
      </w:pPr>
      <w:bookmarkStart w:id="0" w:name="OLE_LINK1"/>
    </w:p>
    <w:p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40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36"/>
        </w:rPr>
        <w:t>202</w:t>
      </w:r>
      <w:r>
        <w:rPr>
          <w:rFonts w:ascii="微软雅黑" w:hAnsi="微软雅黑" w:eastAsia="微软雅黑" w:cs="微软雅黑"/>
          <w:b/>
          <w:bCs/>
          <w:sz w:val="40"/>
          <w:szCs w:val="36"/>
        </w:rPr>
        <w:t>4</w:t>
      </w:r>
      <w:r>
        <w:rPr>
          <w:rFonts w:hint="eastAsia" w:ascii="微软雅黑" w:hAnsi="微软雅黑" w:eastAsia="微软雅黑" w:cs="微软雅黑"/>
          <w:b/>
          <w:bCs/>
          <w:sz w:val="40"/>
          <w:szCs w:val="36"/>
        </w:rPr>
        <w:t>印尼国际礼品及家庭用品展</w:t>
      </w:r>
    </w:p>
    <w:p>
      <w:pPr>
        <w:spacing w:line="50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——印尼最具规模和影响力的礼品及家庭用品</w:t>
      </w:r>
      <w:r>
        <w:rPr>
          <w:rFonts w:ascii="黑体" w:hAnsi="黑体" w:eastAsia="黑体" w:cs="黑体"/>
          <w:sz w:val="28"/>
          <w:szCs w:val="28"/>
        </w:rPr>
        <w:t>B2B</w:t>
      </w:r>
      <w:r>
        <w:rPr>
          <w:rFonts w:hint="eastAsia" w:ascii="黑体" w:hAnsi="黑体" w:eastAsia="黑体" w:cs="黑体"/>
          <w:sz w:val="28"/>
          <w:szCs w:val="28"/>
        </w:rPr>
        <w:t>贸易展</w:t>
      </w:r>
    </w:p>
    <w:p>
      <w:pPr>
        <w:spacing w:line="500" w:lineRule="exact"/>
        <w:jc w:val="center"/>
        <w:rPr>
          <w:rFonts w:ascii="微软雅黑" w:hAnsi="微软雅黑" w:eastAsia="微软雅黑" w:cs="微软雅黑"/>
          <w:sz w:val="24"/>
          <w:szCs w:val="28"/>
        </w:rPr>
      </w:pPr>
    </w:p>
    <w:p>
      <w:pPr>
        <w:numPr>
          <w:ilvl w:val="0"/>
          <w:numId w:val="1"/>
        </w:numPr>
        <w:spacing w:line="500" w:lineRule="exact"/>
        <w:ind w:hanging="578"/>
        <w:jc w:val="left"/>
        <w:rPr>
          <w:rFonts w:ascii="微软雅黑" w:hAnsi="微软雅黑" w:eastAsia="微软雅黑" w:cs="微软雅黑"/>
          <w:b/>
          <w:kern w:val="0"/>
          <w:sz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</w:rPr>
        <w:t>展会概</w:t>
      </w:r>
      <w:r>
        <w:rPr>
          <w:rFonts w:hint="eastAsia" w:ascii="微软雅黑" w:hAnsi="微软雅黑" w:eastAsia="微软雅黑" w:cs="微软雅黑"/>
          <w:b/>
          <w:kern w:val="0"/>
          <w:sz w:val="28"/>
          <w:lang w:val="en-US" w:eastAsia="zh-CN"/>
        </w:rPr>
        <w:t>况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展 会 名 称 ：</w:t>
      </w:r>
      <w:r>
        <w:rPr>
          <w:rFonts w:hint="eastAsia" w:ascii="微软雅黑" w:hAnsi="微软雅黑" w:eastAsia="微软雅黑" w:cs="微软雅黑"/>
          <w:bCs/>
          <w:sz w:val="24"/>
          <w:szCs w:val="32"/>
        </w:rPr>
        <w:t>202</w:t>
      </w:r>
      <w:r>
        <w:rPr>
          <w:rFonts w:ascii="微软雅黑" w:hAnsi="微软雅黑" w:eastAsia="微软雅黑" w:cs="微软雅黑"/>
          <w:bCs/>
          <w:sz w:val="24"/>
          <w:szCs w:val="32"/>
        </w:rPr>
        <w:t>4</w:t>
      </w:r>
      <w:r>
        <w:rPr>
          <w:rFonts w:hint="eastAsia" w:ascii="微软雅黑" w:hAnsi="微软雅黑" w:eastAsia="微软雅黑" w:cs="微软雅黑"/>
          <w:bCs/>
          <w:sz w:val="24"/>
          <w:szCs w:val="32"/>
        </w:rPr>
        <w:t>印尼国际礼品及家庭用品展【IGHE】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jc w:val="left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主 办 单 位 ：</w:t>
      </w:r>
      <w:r>
        <w:rPr>
          <w:rFonts w:hint="eastAsia" w:ascii="微软雅黑" w:hAnsi="微软雅黑" w:eastAsia="微软雅黑" w:cs="微软雅黑"/>
          <w:sz w:val="24"/>
          <w:szCs w:val="21"/>
        </w:rPr>
        <w:t>潮域展览</w:t>
      </w:r>
      <w:r>
        <w:rPr>
          <w:rFonts w:hint="eastAsia" w:ascii="微软雅黑" w:hAnsi="微软雅黑" w:eastAsia="微软雅黑" w:cs="微软雅黑"/>
          <w:sz w:val="24"/>
        </w:rPr>
        <w:t>【CHAOYU EXPO】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jc w:val="left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承 办 单 位 ：P</w:t>
      </w:r>
      <w:r>
        <w:rPr>
          <w:rFonts w:ascii="微软雅黑" w:hAnsi="微软雅黑" w:eastAsia="微软雅黑" w:cs="微软雅黑"/>
          <w:sz w:val="24"/>
        </w:rPr>
        <w:t>ERAGA EXPO</w:t>
      </w:r>
    </w:p>
    <w:p>
      <w:pPr>
        <w:pStyle w:val="17"/>
        <w:numPr>
          <w:ilvl w:val="0"/>
          <w:numId w:val="3"/>
        </w:numPr>
        <w:snapToGrid w:val="0"/>
        <w:spacing w:before="156" w:beforeLines="50" w:after="156" w:afterLines="50"/>
        <w:ind w:firstLineChars="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协 办 单 位 ：印尼进出口联盟、印尼零售商协会、</w:t>
      </w:r>
      <w:r>
        <w:rPr>
          <w:rFonts w:ascii="微软雅黑" w:hAnsi="微软雅黑" w:eastAsia="微软雅黑" w:cs="微软雅黑"/>
          <w:sz w:val="24"/>
        </w:rPr>
        <w:t>印尼创意产业与贸易联盟</w:t>
      </w:r>
      <w:r>
        <w:rPr>
          <w:rFonts w:hint="eastAsia" w:ascii="微软雅黑" w:hAnsi="微软雅黑" w:eastAsia="微软雅黑" w:cs="微软雅黑"/>
          <w:sz w:val="24"/>
        </w:rPr>
        <w:t>、</w:t>
      </w:r>
    </w:p>
    <w:p>
      <w:pPr>
        <w:snapToGrid w:val="0"/>
        <w:spacing w:before="156" w:beforeLines="50" w:after="156" w:afterLines="50"/>
        <w:ind w:left="708" w:firstLine="2160" w:firstLineChars="9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马来西亚批发商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总</w:t>
      </w:r>
      <w:r>
        <w:rPr>
          <w:rFonts w:hint="eastAsia" w:ascii="微软雅黑" w:hAnsi="微软雅黑" w:eastAsia="微软雅黑" w:cs="微软雅黑"/>
          <w:sz w:val="24"/>
        </w:rPr>
        <w:t>会、马来西亚巴生巨盟批发城、新加坡礼品协会</w:t>
      </w:r>
    </w:p>
    <w:p>
      <w:pPr>
        <w:pStyle w:val="17"/>
        <w:numPr>
          <w:ilvl w:val="0"/>
          <w:numId w:val="3"/>
        </w:numPr>
        <w:snapToGrid w:val="0"/>
        <w:spacing w:before="156" w:beforeLines="50" w:after="156" w:afterLines="50"/>
        <w:ind w:firstLineChars="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支 持 单 位 ：</w:t>
      </w:r>
      <w:r>
        <w:rPr>
          <w:rFonts w:hint="eastAsia" w:ascii="微软雅黑" w:hAnsi="微软雅黑" w:eastAsia="微软雅黑" w:cs="微软雅黑"/>
          <w:bCs/>
          <w:sz w:val="24"/>
        </w:rPr>
        <w:t>印尼对外贸易部、</w:t>
      </w:r>
      <w:r>
        <w:rPr>
          <w:rFonts w:hint="eastAsia" w:ascii="微软雅黑" w:hAnsi="微软雅黑" w:eastAsia="微软雅黑" w:cs="微软雅黑"/>
          <w:sz w:val="24"/>
        </w:rPr>
        <w:t>印尼工业部 、印尼工商会、</w:t>
      </w:r>
    </w:p>
    <w:p>
      <w:pPr>
        <w:snapToGrid w:val="0"/>
        <w:spacing w:before="156" w:beforeLines="50" w:after="156" w:afterLines="50"/>
        <w:ind w:left="708" w:firstLine="2126" w:firstLineChars="886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印尼中华总商会 、印中商务理事会 、中国驻印尼大使馆 </w:t>
      </w:r>
    </w:p>
    <w:p>
      <w:pPr>
        <w:numPr>
          <w:ilvl w:val="0"/>
          <w:numId w:val="4"/>
        </w:numPr>
        <w:snapToGrid w:val="0"/>
        <w:spacing w:before="156" w:beforeLines="50" w:after="156" w:afterLines="5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时 </w:t>
      </w:r>
      <w:r>
        <w:rPr>
          <w:rFonts w:ascii="微软雅黑" w:hAnsi="微软雅黑" w:eastAsia="微软雅黑" w:cs="微软雅黑"/>
          <w:sz w:val="24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间 ：202</w:t>
      </w:r>
      <w:r>
        <w:rPr>
          <w:rFonts w:ascii="微软雅黑" w:hAnsi="微软雅黑" w:eastAsia="微软雅黑" w:cs="微软雅黑"/>
          <w:sz w:val="24"/>
        </w:rPr>
        <w:t>4</w:t>
      </w:r>
      <w:r>
        <w:rPr>
          <w:rFonts w:hint="eastAsia" w:ascii="微软雅黑" w:hAnsi="微软雅黑" w:eastAsia="微软雅黑" w:cs="微软雅黑"/>
          <w:sz w:val="24"/>
        </w:rPr>
        <w:t>年8月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4"/>
        </w:rPr>
        <w:t>-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4"/>
        </w:rPr>
        <w:t>日</w:t>
      </w:r>
    </w:p>
    <w:p>
      <w:pPr>
        <w:numPr>
          <w:ilvl w:val="0"/>
          <w:numId w:val="4"/>
        </w:numPr>
        <w:snapToGrid w:val="0"/>
        <w:spacing w:before="156" w:beforeLines="50" w:after="156" w:afterLines="5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地 </w:t>
      </w:r>
      <w:r>
        <w:rPr>
          <w:rFonts w:ascii="微软雅黑" w:hAnsi="微软雅黑" w:eastAsia="微软雅黑" w:cs="微软雅黑"/>
          <w:sz w:val="24"/>
        </w:rPr>
        <w:t xml:space="preserve">     </w:t>
      </w:r>
      <w:r>
        <w:rPr>
          <w:rFonts w:hint="eastAsia" w:ascii="微软雅黑" w:hAnsi="微软雅黑" w:eastAsia="微软雅黑" w:cs="微软雅黑"/>
          <w:sz w:val="24"/>
        </w:rPr>
        <w:t xml:space="preserve"> 点 ：印尼雅加达国际展览中心【JIEXPO】</w:t>
      </w:r>
      <w:r>
        <w:rPr>
          <w:rFonts w:ascii="微软雅黑" w:hAnsi="微软雅黑" w:eastAsia="微软雅黑" w:cs="微软雅黑"/>
          <w:sz w:val="24"/>
        </w:rPr>
        <w:t>D</w:t>
      </w:r>
      <w:r>
        <w:rPr>
          <w:rFonts w:hint="eastAsia" w:ascii="微软雅黑" w:hAnsi="微软雅黑" w:eastAsia="微软雅黑" w:cs="微软雅黑"/>
          <w:sz w:val="24"/>
        </w:rPr>
        <w:t>馆</w:t>
      </w:r>
    </w:p>
    <w:p>
      <w:pPr>
        <w:numPr>
          <w:ilvl w:val="0"/>
          <w:numId w:val="4"/>
        </w:numPr>
        <w:snapToGrid w:val="0"/>
        <w:spacing w:before="156" w:beforeLines="50" w:after="156" w:afterLines="5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展 览 面 积 ：</w:t>
      </w:r>
      <w:r>
        <w:rPr>
          <w:rFonts w:ascii="微软雅黑" w:hAnsi="微软雅黑" w:eastAsia="微软雅黑" w:cs="微软雅黑"/>
          <w:sz w:val="24"/>
        </w:rPr>
        <w:t>10000</w:t>
      </w:r>
      <w:r>
        <w:rPr>
          <w:rFonts w:hint="eastAsia" w:ascii="微软雅黑" w:hAnsi="微软雅黑" w:eastAsia="微软雅黑" w:cs="微软雅黑"/>
          <w:sz w:val="24"/>
        </w:rPr>
        <w:t>平米</w:t>
      </w:r>
    </w:p>
    <w:p>
      <w:pPr>
        <w:spacing w:line="480" w:lineRule="auto"/>
        <w:ind w:firstLine="140" w:firstLineChars="50"/>
        <w:rPr>
          <w:rFonts w:ascii="微软雅黑" w:hAnsi="微软雅黑" w:eastAsia="微软雅黑" w:cs="微软雅黑"/>
          <w:b/>
          <w:sz w:val="28"/>
        </w:rPr>
      </w:pPr>
      <w:r>
        <w:rPr>
          <w:rFonts w:hint="eastAsia" w:ascii="微软雅黑" w:hAnsi="微软雅黑" w:eastAsia="微软雅黑" w:cs="微软雅黑"/>
          <w:b/>
          <w:sz w:val="28"/>
        </w:rPr>
        <w:t>二、展品范围：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64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家居日用品：</w:t>
      </w:r>
      <w:r>
        <w:rPr>
          <w:rFonts w:hint="eastAsia" w:ascii="Tahoma" w:hAnsi="Tahoma" w:eastAsia="微软雅黑"/>
          <w:sz w:val="24"/>
        </w:rPr>
        <w:t>室内外家具、家居装饰品、花园装饰品及工具、五金卫浴及配件、储物及收纳用品、家用纺织品、智能家居产品、户外用品、清洁用品、美容产品、洗化个护用品等。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64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厨房用品：</w:t>
      </w:r>
      <w:r>
        <w:rPr>
          <w:rFonts w:hint="eastAsia" w:ascii="Tahoma" w:hAnsi="Tahoma" w:eastAsia="微软雅黑"/>
          <w:sz w:val="24"/>
        </w:rPr>
        <w:t>锅具、刀具、食物料理机、烹饪厨具、</w:t>
      </w:r>
      <w:r>
        <w:rPr>
          <w:rFonts w:ascii="Tahoma" w:hAnsi="Tahoma" w:eastAsia="微软雅黑"/>
          <w:sz w:val="24"/>
        </w:rPr>
        <w:t>烤盘及炊具、</w:t>
      </w:r>
      <w:r>
        <w:rPr>
          <w:rFonts w:hint="eastAsia" w:ascii="Tahoma" w:hAnsi="Tahoma" w:eastAsia="微软雅黑"/>
          <w:sz w:val="24"/>
        </w:rPr>
        <w:t>烘焙用品、</w:t>
      </w:r>
      <w:r>
        <w:rPr>
          <w:rFonts w:ascii="Tahoma" w:hAnsi="Tahoma" w:eastAsia="微软雅黑"/>
          <w:sz w:val="24"/>
        </w:rPr>
        <w:t>硅胶厨具、厨具配件等</w:t>
      </w:r>
      <w:r>
        <w:rPr>
          <w:rFonts w:hint="eastAsia" w:ascii="Tahoma" w:hAnsi="Tahoma" w:eastAsia="微软雅黑"/>
          <w:sz w:val="24"/>
        </w:rPr>
        <w:t>。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64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餐桌用品：</w:t>
      </w:r>
      <w:r>
        <w:rPr>
          <w:rFonts w:hint="eastAsia" w:ascii="Tahoma" w:hAnsi="Tahoma" w:eastAsia="微软雅黑"/>
          <w:sz w:val="24"/>
        </w:rPr>
        <w:t>不锈钢餐具</w:t>
      </w:r>
      <w:r>
        <w:rPr>
          <w:rFonts w:ascii="Tahoma" w:hAnsi="Tahoma" w:eastAsia="微软雅黑"/>
          <w:sz w:val="24"/>
        </w:rPr>
        <w:t>、硅胶餐具、</w:t>
      </w:r>
      <w:r>
        <w:rPr>
          <w:rFonts w:hint="eastAsia" w:ascii="Tahoma" w:hAnsi="Tahoma" w:eastAsia="微软雅黑"/>
          <w:sz w:val="24"/>
        </w:rPr>
        <w:t>竹木餐具、</w:t>
      </w:r>
      <w:r>
        <w:rPr>
          <w:rFonts w:ascii="Tahoma" w:hAnsi="Tahoma" w:eastAsia="微软雅黑"/>
          <w:sz w:val="24"/>
        </w:rPr>
        <w:t>陶瓷餐具</w:t>
      </w:r>
      <w:r>
        <w:rPr>
          <w:rFonts w:hint="eastAsia" w:ascii="Tahoma" w:hAnsi="Tahoma" w:eastAsia="微软雅黑"/>
          <w:sz w:val="24"/>
        </w:rPr>
        <w:t>、</w:t>
      </w:r>
      <w:r>
        <w:rPr>
          <w:rFonts w:ascii="Tahoma" w:hAnsi="Tahoma" w:eastAsia="微软雅黑"/>
          <w:sz w:val="24"/>
        </w:rPr>
        <w:t>密胺餐具</w:t>
      </w:r>
      <w:r>
        <w:rPr>
          <w:rFonts w:hint="eastAsia" w:ascii="Tahoma" w:hAnsi="Tahoma" w:eastAsia="微软雅黑"/>
          <w:sz w:val="24"/>
        </w:rPr>
        <w:t>、塑料餐具</w:t>
      </w:r>
      <w:r>
        <w:rPr>
          <w:rFonts w:ascii="Tahoma" w:hAnsi="Tahoma" w:eastAsia="微软雅黑"/>
          <w:sz w:val="24"/>
        </w:rPr>
        <w:t>、杯壶水</w:t>
      </w:r>
      <w:r>
        <w:rPr>
          <w:rFonts w:hint="eastAsia" w:ascii="Tahoma" w:hAnsi="Tahoma" w:eastAsia="微软雅黑"/>
          <w:sz w:val="24"/>
        </w:rPr>
        <w:t>具</w:t>
      </w:r>
      <w:r>
        <w:rPr>
          <w:rFonts w:ascii="Tahoma" w:hAnsi="Tahoma" w:eastAsia="微软雅黑"/>
          <w:sz w:val="24"/>
        </w:rPr>
        <w:t>、</w:t>
      </w:r>
      <w:r>
        <w:rPr>
          <w:rFonts w:hint="eastAsia" w:ascii="Tahoma" w:hAnsi="Tahoma" w:eastAsia="微软雅黑"/>
          <w:sz w:val="24"/>
        </w:rPr>
        <w:t>一次性餐具、桌布、锅垫及杯垫等。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64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礼品及赠</w:t>
      </w:r>
      <w:r>
        <w:rPr>
          <w:rFonts w:ascii="Tahoma" w:hAnsi="Tahoma" w:eastAsia="微软雅黑"/>
          <w:b/>
          <w:bCs/>
          <w:sz w:val="24"/>
        </w:rPr>
        <w:t>品</w:t>
      </w:r>
      <w:r>
        <w:rPr>
          <w:rFonts w:hint="eastAsia" w:ascii="Tahoma" w:hAnsi="Tahoma" w:eastAsia="微软雅黑"/>
          <w:b/>
          <w:bCs/>
          <w:sz w:val="24"/>
        </w:rPr>
        <w:t>：</w:t>
      </w:r>
      <w:r>
        <w:rPr>
          <w:rFonts w:ascii="Tahoma" w:hAnsi="Tahoma" w:eastAsia="微软雅黑"/>
          <w:sz w:val="24"/>
        </w:rPr>
        <w:t>广告赠品</w:t>
      </w:r>
      <w:r>
        <w:rPr>
          <w:rFonts w:hint="eastAsia" w:ascii="Tahoma" w:hAnsi="Tahoma" w:eastAsia="微软雅黑"/>
          <w:sz w:val="24"/>
        </w:rPr>
        <w:t>、公司礼品、服装及时尚饰品</w:t>
      </w:r>
      <w:r>
        <w:rPr>
          <w:rFonts w:ascii="Tahoma" w:hAnsi="Tahoma" w:eastAsia="微软雅黑"/>
          <w:sz w:val="24"/>
        </w:rPr>
        <w:t>、</w:t>
      </w:r>
      <w:r>
        <w:rPr>
          <w:rFonts w:hint="eastAsia" w:ascii="Tahoma" w:hAnsi="Tahoma" w:eastAsia="微软雅黑"/>
          <w:sz w:val="24"/>
        </w:rPr>
        <w:t>电子礼品、</w:t>
      </w:r>
      <w:r>
        <w:rPr>
          <w:rFonts w:ascii="Tahoma" w:hAnsi="Tahoma" w:eastAsia="微软雅黑"/>
          <w:sz w:val="24"/>
        </w:rPr>
        <w:t>小型摆件及装饰品</w:t>
      </w:r>
      <w:r>
        <w:rPr>
          <w:rFonts w:hint="eastAsia" w:ascii="Tahoma" w:hAnsi="Tahoma" w:eastAsia="微软雅黑"/>
          <w:sz w:val="24"/>
        </w:rPr>
        <w:t>、</w:t>
      </w:r>
      <w:r>
        <w:rPr>
          <w:rFonts w:ascii="Tahoma" w:hAnsi="Tahoma" w:eastAsia="微软雅黑"/>
          <w:sz w:val="24"/>
        </w:rPr>
        <w:t>旅游纪念品</w:t>
      </w:r>
      <w:r>
        <w:rPr>
          <w:rFonts w:hint="eastAsia" w:ascii="Tahoma" w:hAnsi="Tahoma" w:eastAsia="微软雅黑"/>
          <w:sz w:val="24"/>
        </w:rPr>
        <w:t>、工艺品、铭牌与徽章、奖杯与旗帜、相框与画框、钟表、钥匙扣、皮具、</w:t>
      </w:r>
      <w:r>
        <w:rPr>
          <w:rFonts w:ascii="Tahoma" w:hAnsi="Tahoma" w:eastAsia="微软雅黑"/>
          <w:sz w:val="24"/>
        </w:rPr>
        <w:t>伞</w:t>
      </w:r>
      <w:r>
        <w:rPr>
          <w:rFonts w:hint="eastAsia" w:ascii="Tahoma" w:hAnsi="Tahoma" w:eastAsia="微软雅黑"/>
          <w:sz w:val="24"/>
        </w:rPr>
        <w:t>、礼品盒、礼品袋、丝带、包装纸等。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64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节庆用品：</w:t>
      </w:r>
      <w:r>
        <w:rPr>
          <w:rFonts w:hint="eastAsia" w:ascii="Tahoma" w:hAnsi="Tahoma" w:eastAsia="微软雅黑"/>
          <w:sz w:val="24"/>
        </w:rPr>
        <w:t>节庆装饰品、灯笼及灯饰、烟花、节日及派对用品、气球、花卉、蜡烛与香薰等。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64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箱包及手袋：</w:t>
      </w:r>
      <w:r>
        <w:rPr>
          <w:rFonts w:hint="eastAsia" w:ascii="Tahoma" w:hAnsi="Tahoma" w:eastAsia="微软雅黑"/>
          <w:sz w:val="24"/>
        </w:rPr>
        <w:t>拉杆箱、旅行箱、公文包、双肩</w:t>
      </w:r>
      <w:r>
        <w:rPr>
          <w:rFonts w:ascii="Tahoma" w:hAnsi="Tahoma" w:eastAsia="微软雅黑"/>
          <w:sz w:val="24"/>
        </w:rPr>
        <w:t>包</w:t>
      </w:r>
      <w:r>
        <w:rPr>
          <w:rFonts w:hint="eastAsia" w:ascii="Tahoma" w:hAnsi="Tahoma" w:eastAsia="微软雅黑"/>
          <w:sz w:val="24"/>
        </w:rPr>
        <w:t>、斜挎包、晚装包、洗漱包、化妆包、运动包、帆布包、环保袋、无纺布袋等。</w:t>
      </w:r>
    </w:p>
    <w:p>
      <w:pPr>
        <w:pStyle w:val="17"/>
        <w:snapToGrid w:val="0"/>
        <w:spacing w:before="156" w:beforeLines="50" w:after="156" w:afterLines="50" w:line="264" w:lineRule="auto"/>
        <w:ind w:left="986" w:firstLine="0" w:firstLineChars="0"/>
        <w:contextualSpacing/>
        <w:rPr>
          <w:rFonts w:ascii="Tahoma" w:hAnsi="Tahoma" w:eastAsia="微软雅黑"/>
          <w:sz w:val="24"/>
        </w:rPr>
      </w:pPr>
    </w:p>
    <w:p>
      <w:pPr>
        <w:numPr>
          <w:ilvl w:val="0"/>
          <w:numId w:val="6"/>
        </w:numPr>
        <w:spacing w:line="360" w:lineRule="auto"/>
        <w:ind w:hanging="578"/>
        <w:rPr>
          <w:rFonts w:ascii="微软雅黑" w:hAnsi="微软雅黑" w:eastAsia="微软雅黑" w:cs="微软雅黑"/>
          <w:sz w:val="28"/>
        </w:rPr>
      </w:pPr>
      <w:bookmarkStart w:id="1" w:name="_Hlk118208219"/>
      <w:r>
        <w:rPr>
          <w:rFonts w:hint="eastAsia" w:ascii="微软雅黑" w:hAnsi="微软雅黑" w:eastAsia="微软雅黑" w:cs="微软雅黑"/>
          <w:b/>
          <w:sz w:val="28"/>
        </w:rPr>
        <w:t>参展费用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4" w:lineRule="atLeast"/>
        <w:ind w:left="986" w:firstLineChars="0"/>
        <w:contextualSpacing/>
        <w:rPr>
          <w:rFonts w:ascii="微软雅黑" w:hAnsi="微软雅黑" w:eastAsia="微软雅黑" w:cs="微软雅黑"/>
          <w:sz w:val="24"/>
        </w:rPr>
      </w:pPr>
      <w:r>
        <w:rPr>
          <w:rFonts w:hint="eastAsia" w:ascii="Tahoma" w:hAnsi="Tahoma" w:eastAsia="微软雅黑"/>
          <w:sz w:val="24"/>
        </w:rPr>
        <w:t>标准展位：人民币3</w:t>
      </w:r>
      <w:r>
        <w:rPr>
          <w:rFonts w:ascii="Tahoma" w:hAnsi="Tahoma" w:eastAsia="微软雅黑"/>
          <w:sz w:val="24"/>
        </w:rPr>
        <w:t>6</w:t>
      </w:r>
      <w:r>
        <w:rPr>
          <w:rFonts w:hint="eastAsia" w:ascii="Tahoma" w:hAnsi="Tahoma" w:eastAsia="微软雅黑"/>
          <w:sz w:val="24"/>
        </w:rPr>
        <w:t>,800 / 9平米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4" w:lineRule="atLeast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sz w:val="24"/>
        </w:rPr>
        <w:t>光地展位：人民币3</w:t>
      </w:r>
      <w:r>
        <w:rPr>
          <w:rFonts w:ascii="Tahoma" w:hAnsi="Tahoma" w:eastAsia="微软雅黑"/>
          <w:sz w:val="24"/>
        </w:rPr>
        <w:t>,6</w:t>
      </w:r>
      <w:r>
        <w:rPr>
          <w:rFonts w:hint="eastAsia" w:ascii="Tahoma" w:hAnsi="Tahoma" w:eastAsia="微软雅黑"/>
          <w:sz w:val="24"/>
        </w:rPr>
        <w:t>80 / 平米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4" w:lineRule="atLeast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sz w:val="24"/>
        </w:rPr>
        <w:t>角位费用：</w:t>
      </w:r>
      <w:bookmarkStart w:id="2" w:name="_Hlk118210978"/>
      <w:r>
        <w:rPr>
          <w:rFonts w:hint="eastAsia" w:ascii="Tahoma" w:hAnsi="Tahoma" w:eastAsia="微软雅黑"/>
          <w:sz w:val="24"/>
        </w:rPr>
        <w:t>按展位费5%收取</w:t>
      </w:r>
      <w:bookmarkEnd w:id="2"/>
    </w:p>
    <w:bookmarkEnd w:id="0"/>
    <w:p>
      <w:pPr>
        <w:numPr>
          <w:ilvl w:val="0"/>
          <w:numId w:val="6"/>
        </w:numPr>
        <w:spacing w:line="360" w:lineRule="auto"/>
        <w:ind w:hanging="578"/>
        <w:rPr>
          <w:rFonts w:ascii="微软雅黑" w:hAnsi="微软雅黑" w:eastAsia="微软雅黑" w:cs="微软雅黑"/>
          <w:b/>
          <w:sz w:val="28"/>
        </w:rPr>
      </w:pPr>
      <w:bookmarkStart w:id="3" w:name="_Hlk118210992"/>
      <w:bookmarkStart w:id="4" w:name="_Hlk118211017"/>
      <w:r>
        <w:rPr>
          <w:rFonts w:hint="eastAsia" w:ascii="微软雅黑" w:hAnsi="微软雅黑" w:eastAsia="微软雅黑" w:cs="微软雅黑"/>
          <w:b/>
          <w:sz w:val="28"/>
        </w:rPr>
        <w:t>展位配置</w:t>
      </w:r>
    </w:p>
    <w:bookmarkEnd w:id="3"/>
    <w:p>
      <w:pPr>
        <w:snapToGrid w:val="0"/>
        <w:spacing w:before="156" w:beforeLines="50" w:after="156" w:afterLines="50" w:line="24" w:lineRule="atLeast"/>
        <w:ind w:left="7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标准展位配置：</w:t>
      </w:r>
      <w:bookmarkEnd w:id="1"/>
      <w:r>
        <w:rPr>
          <w:rFonts w:hint="eastAsia" w:ascii="微软雅黑" w:hAnsi="微软雅黑" w:eastAsia="微软雅黑" w:cs="微软雅黑"/>
          <w:sz w:val="24"/>
        </w:rPr>
        <w:t>9米层板、</w:t>
      </w:r>
      <w:r>
        <w:rPr>
          <w:rFonts w:ascii="微软雅黑" w:hAnsi="微软雅黑" w:eastAsia="微软雅黑" w:cs="微软雅黑"/>
          <w:sz w:val="24"/>
        </w:rPr>
        <w:t>3</w:t>
      </w:r>
      <w:r>
        <w:rPr>
          <w:rFonts w:hint="eastAsia" w:ascii="微软雅黑" w:hAnsi="微软雅黑" w:eastAsia="微软雅黑" w:cs="微软雅黑"/>
          <w:sz w:val="24"/>
        </w:rPr>
        <w:t>个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荧光灯</w:t>
      </w:r>
      <w:r>
        <w:rPr>
          <w:rFonts w:hint="eastAsia" w:ascii="微软雅黑" w:hAnsi="微软雅黑" w:eastAsia="微软雅黑" w:cs="微软雅黑"/>
          <w:sz w:val="24"/>
        </w:rPr>
        <w:t>、楣板、地毯、1张桌子、3张椅子、1个咨询台、1个220V插座、1个垃圾桶</w:t>
      </w:r>
    </w:p>
    <w:bookmarkEnd w:id="4"/>
    <w:p>
      <w:pPr>
        <w:numPr>
          <w:ilvl w:val="0"/>
          <w:numId w:val="6"/>
        </w:numPr>
        <w:spacing w:line="360" w:lineRule="auto"/>
        <w:ind w:hanging="578"/>
        <w:rPr>
          <w:rFonts w:ascii="微软雅黑" w:hAnsi="微软雅黑" w:eastAsia="微软雅黑" w:cs="微软雅黑"/>
          <w:b/>
          <w:sz w:val="28"/>
        </w:rPr>
      </w:pPr>
      <w:bookmarkStart w:id="5" w:name="_Hlk118211167"/>
      <w:r>
        <w:rPr>
          <w:rFonts w:hint="eastAsia" w:ascii="微软雅黑" w:hAnsi="微软雅黑" w:eastAsia="微软雅黑" w:cs="宋体"/>
          <w:sz w:val="24"/>
        </w:rPr>
        <w:t xml:space="preserve"> </w:t>
      </w:r>
      <w:r>
        <w:rPr>
          <w:rFonts w:hint="eastAsia" w:ascii="微软雅黑" w:hAnsi="微软雅黑" w:eastAsia="微软雅黑" w:cs="微软雅黑"/>
          <w:b/>
          <w:sz w:val="28"/>
        </w:rPr>
        <w:t>市场概况</w:t>
      </w:r>
    </w:p>
    <w:p>
      <w:pPr>
        <w:numPr>
          <w:ilvl w:val="0"/>
          <w:numId w:val="5"/>
        </w:numPr>
        <w:snapToGrid w:val="0"/>
        <w:spacing w:before="156" w:beforeLines="50" w:after="156" w:afterLines="50"/>
        <w:ind w:left="986" w:hanging="278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印尼位于亚洲东南部，地跨赤道，与巴布亚新几内亚、东帝汶、马来西亚接壤，与泰国、新加坡、菲律宾、澳大利亚等国隔海相望，扼守马六甲海峡，位于亚洲和大洋洲、太平洋和印度洋的“十字路口”，辐射6 亿人口的东盟市场，地理位置极为重要。印尼是东南亚的采购枢纽，也是进入东南亚市场的绝佳门户。</w:t>
      </w:r>
    </w:p>
    <w:p>
      <w:pPr>
        <w:numPr>
          <w:ilvl w:val="0"/>
          <w:numId w:val="5"/>
        </w:numPr>
        <w:snapToGrid w:val="0"/>
        <w:spacing w:before="156" w:beforeLines="50" w:after="156" w:afterLines="50" w:line="20" w:lineRule="atLeast"/>
        <w:ind w:left="986" w:hanging="278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2</w:t>
      </w:r>
      <w:r>
        <w:rPr>
          <w:rFonts w:ascii="微软雅黑" w:hAnsi="微软雅黑" w:eastAsia="微软雅黑" w:cs="微软雅黑"/>
          <w:bCs/>
          <w:sz w:val="24"/>
        </w:rPr>
        <w:t>023</w:t>
      </w:r>
      <w:r>
        <w:rPr>
          <w:rFonts w:hint="eastAsia" w:ascii="微软雅黑" w:hAnsi="微软雅黑" w:eastAsia="微软雅黑" w:cs="微软雅黑"/>
          <w:bCs/>
          <w:sz w:val="24"/>
        </w:rPr>
        <w:t>年1月R</w:t>
      </w:r>
      <w:r>
        <w:rPr>
          <w:rFonts w:ascii="微软雅黑" w:hAnsi="微软雅黑" w:eastAsia="微软雅黑" w:cs="微软雅黑"/>
          <w:bCs/>
          <w:sz w:val="24"/>
        </w:rPr>
        <w:t>CEP</w:t>
      </w:r>
      <w:r>
        <w:rPr>
          <w:rFonts w:hint="eastAsia" w:ascii="微软雅黑" w:hAnsi="微软雅黑" w:eastAsia="微软雅黑" w:cs="微软雅黑"/>
          <w:bCs/>
          <w:sz w:val="24"/>
        </w:rPr>
        <w:t>正式对印尼生效，</w:t>
      </w:r>
      <w:r>
        <w:rPr>
          <w:rFonts w:ascii="微软雅黑" w:hAnsi="微软雅黑" w:eastAsia="微软雅黑" w:cs="微软雅黑"/>
          <w:bCs/>
          <w:sz w:val="24"/>
        </w:rPr>
        <w:t>中国与印尼将相互实施RCEP协定税率</w:t>
      </w:r>
      <w:r>
        <w:rPr>
          <w:rFonts w:hint="eastAsia" w:ascii="微软雅黑" w:hAnsi="微软雅黑" w:eastAsia="微软雅黑" w:cs="微软雅黑"/>
          <w:bCs/>
          <w:sz w:val="24"/>
        </w:rPr>
        <w:t>。印尼作为R</w:t>
      </w:r>
      <w:r>
        <w:rPr>
          <w:rFonts w:ascii="微软雅黑" w:hAnsi="微软雅黑" w:eastAsia="微软雅黑" w:cs="微软雅黑"/>
          <w:bCs/>
          <w:sz w:val="24"/>
        </w:rPr>
        <w:t>CEP</w:t>
      </w:r>
      <w:r>
        <w:rPr>
          <w:rFonts w:hint="eastAsia" w:ascii="微软雅黑" w:hAnsi="微软雅黑" w:eastAsia="微软雅黑" w:cs="微软雅黑"/>
          <w:bCs/>
          <w:sz w:val="24"/>
        </w:rPr>
        <w:t>的首倡国，现正充分利用其东盟轮值主席国的有利地位，积极地与R</w:t>
      </w:r>
      <w:r>
        <w:rPr>
          <w:rFonts w:ascii="微软雅黑" w:hAnsi="微软雅黑" w:eastAsia="微软雅黑" w:cs="微软雅黑"/>
          <w:bCs/>
          <w:sz w:val="24"/>
        </w:rPr>
        <w:t>CEP</w:t>
      </w:r>
      <w:r>
        <w:rPr>
          <w:rFonts w:hint="eastAsia" w:ascii="微软雅黑" w:hAnsi="微软雅黑" w:eastAsia="微软雅黑" w:cs="微软雅黑"/>
          <w:bCs/>
          <w:sz w:val="24"/>
        </w:rPr>
        <w:t>其他成员国开展贸易和投资。</w:t>
      </w:r>
    </w:p>
    <w:p>
      <w:pPr>
        <w:numPr>
          <w:ilvl w:val="0"/>
          <w:numId w:val="5"/>
        </w:numPr>
        <w:snapToGrid w:val="0"/>
        <w:spacing w:before="156" w:beforeLines="50" w:after="156" w:afterLines="50" w:line="20" w:lineRule="atLeast"/>
        <w:ind w:left="986" w:hanging="278"/>
        <w:rPr>
          <w:rFonts w:ascii="微软雅黑" w:hAnsi="微软雅黑" w:eastAsia="微软雅黑" w:cs="微软雅黑"/>
          <w:bCs/>
          <w:sz w:val="24"/>
        </w:rPr>
      </w:pPr>
      <w:r>
        <w:rPr>
          <w:rFonts w:ascii="微软雅黑" w:hAnsi="微软雅黑" w:eastAsia="微软雅黑" w:cs="微软雅黑"/>
          <w:bCs/>
          <w:sz w:val="24"/>
        </w:rPr>
        <w:t>印度尼西亚作为东盟最大的经济体，</w:t>
      </w:r>
      <w:r>
        <w:rPr>
          <w:rFonts w:hint="eastAsia" w:ascii="微软雅黑" w:hAnsi="微软雅黑" w:eastAsia="微软雅黑" w:cs="微软雅黑"/>
          <w:bCs/>
          <w:sz w:val="24"/>
        </w:rPr>
        <w:t>2</w:t>
      </w:r>
      <w:r>
        <w:rPr>
          <w:rFonts w:ascii="微软雅黑" w:hAnsi="微软雅黑" w:eastAsia="微软雅黑" w:cs="微软雅黑"/>
          <w:bCs/>
          <w:sz w:val="24"/>
        </w:rPr>
        <w:t>022</w:t>
      </w:r>
      <w:r>
        <w:rPr>
          <w:rFonts w:hint="eastAsia" w:ascii="微软雅黑" w:hAnsi="微软雅黑" w:eastAsia="微软雅黑" w:cs="微软雅黑"/>
          <w:bCs/>
          <w:sz w:val="24"/>
        </w:rPr>
        <w:t>年G</w:t>
      </w:r>
      <w:r>
        <w:rPr>
          <w:rFonts w:ascii="微软雅黑" w:hAnsi="微软雅黑" w:eastAsia="微软雅黑" w:cs="微软雅黑"/>
          <w:bCs/>
          <w:sz w:val="24"/>
        </w:rPr>
        <w:t>DP</w:t>
      </w:r>
      <w:r>
        <w:rPr>
          <w:rFonts w:hint="eastAsia" w:ascii="微软雅黑" w:hAnsi="微软雅黑" w:eastAsia="微软雅黑" w:cs="微软雅黑"/>
          <w:bCs/>
          <w:sz w:val="24"/>
        </w:rPr>
        <w:t>总量突破1</w:t>
      </w:r>
      <w:r>
        <w:rPr>
          <w:rFonts w:ascii="微软雅黑" w:hAnsi="微软雅黑" w:eastAsia="微软雅黑" w:cs="微软雅黑"/>
          <w:bCs/>
          <w:sz w:val="24"/>
        </w:rPr>
        <w:t>.35</w:t>
      </w:r>
      <w:r>
        <w:rPr>
          <w:rFonts w:hint="eastAsia" w:ascii="微软雅黑" w:hAnsi="微软雅黑" w:eastAsia="微软雅黑" w:cs="微软雅黑"/>
          <w:bCs/>
          <w:sz w:val="24"/>
        </w:rPr>
        <w:t>万亿美元，</w:t>
      </w:r>
      <w:r>
        <w:rPr>
          <w:rFonts w:ascii="微软雅黑" w:hAnsi="微软雅黑" w:eastAsia="微软雅黑" w:cs="微软雅黑"/>
          <w:bCs/>
          <w:sz w:val="24"/>
        </w:rPr>
        <w:t>经济长期保持5%的增速，拥有巨大的潜力和庞大的消费市场，在全球主要经济体中位列前茅。预计到2030年</w:t>
      </w:r>
      <w:r>
        <w:rPr>
          <w:rFonts w:hint="eastAsia" w:ascii="微软雅黑" w:hAnsi="微软雅黑" w:eastAsia="微软雅黑" w:cs="微软雅黑"/>
          <w:bCs/>
          <w:sz w:val="24"/>
        </w:rPr>
        <w:t>印尼</w:t>
      </w:r>
      <w:r>
        <w:rPr>
          <w:rFonts w:ascii="微软雅黑" w:hAnsi="微软雅黑" w:eastAsia="微软雅黑" w:cs="微软雅黑"/>
          <w:bCs/>
          <w:sz w:val="24"/>
        </w:rPr>
        <w:t>的消费市场规模将达到5.5万亿美元</w:t>
      </w:r>
      <w:r>
        <w:rPr>
          <w:rFonts w:hint="eastAsia" w:ascii="微软雅黑" w:hAnsi="微软雅黑" w:eastAsia="微软雅黑" w:cs="微软雅黑"/>
          <w:bCs/>
          <w:sz w:val="24"/>
        </w:rPr>
        <w:t>。</w:t>
      </w:r>
    </w:p>
    <w:p>
      <w:pPr>
        <w:numPr>
          <w:ilvl w:val="0"/>
          <w:numId w:val="5"/>
        </w:numPr>
        <w:snapToGrid w:val="0"/>
        <w:spacing w:before="156" w:beforeLines="50" w:after="156" w:afterLines="50" w:line="20" w:lineRule="atLeast"/>
        <w:ind w:left="986" w:hanging="278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印尼拥有超过2.6亿人口，其中华人1,000 多万，是世界上排名第四的人口大国。超过60%的人口年纪在20岁到65岁之间，人口结构年轻化，平均年龄为为28岁，得益于近年印尼经济快速成长，消费力激增，新一代印尼人的购买力十分强劲。</w:t>
      </w:r>
    </w:p>
    <w:p>
      <w:pPr>
        <w:numPr>
          <w:ilvl w:val="0"/>
          <w:numId w:val="5"/>
        </w:numPr>
        <w:snapToGrid w:val="0"/>
        <w:spacing w:before="156" w:beforeLines="50" w:after="156" w:afterLines="50" w:line="20" w:lineRule="atLeast"/>
        <w:ind w:left="986" w:hanging="278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印尼是全球第四大消费市场，而且是被B2C业内公认电商经济增长最快的国家之一，目前印尼已经有着：Lazada、BliBli、Shopee、JD.ID(印尼京东)、Tokopedia、Bukalapak等电商平台，加速了消费，促进消费市场不断快速扩大。</w:t>
      </w:r>
    </w:p>
    <w:p>
      <w:pPr>
        <w:snapToGrid w:val="0"/>
        <w:spacing w:before="156" w:beforeLines="50" w:after="156" w:afterLines="50" w:line="20" w:lineRule="atLeast"/>
        <w:ind w:left="986"/>
        <w:rPr>
          <w:rFonts w:ascii="微软雅黑" w:hAnsi="微软雅黑" w:eastAsia="微软雅黑" w:cs="微软雅黑"/>
          <w:bCs/>
          <w:sz w:val="24"/>
        </w:rPr>
      </w:pPr>
    </w:p>
    <w:bookmarkEnd w:id="5"/>
    <w:p>
      <w:pPr>
        <w:pStyle w:val="17"/>
        <w:numPr>
          <w:ilvl w:val="0"/>
          <w:numId w:val="6"/>
        </w:numPr>
        <w:spacing w:line="288" w:lineRule="auto"/>
        <w:ind w:firstLineChars="0"/>
        <w:rPr>
          <w:rFonts w:ascii="微软雅黑" w:hAnsi="微软雅黑" w:eastAsia="微软雅黑" w:cs="微软雅黑"/>
          <w:b/>
          <w:kern w:val="0"/>
          <w:sz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</w:rPr>
        <w:t>超过13种高效买家推广渠道，全方位覆盖邀约专业买家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电子邮件：</w:t>
      </w:r>
      <w:r>
        <w:rPr>
          <w:rFonts w:hint="eastAsia" w:ascii="Tahoma" w:hAnsi="Tahoma" w:eastAsia="微软雅黑"/>
          <w:sz w:val="24"/>
        </w:rPr>
        <w:t>筛选重点行业买家信息，定期发送展会宣传资料并随时更新展商名录和展品信息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传真及电话：</w:t>
      </w:r>
      <w:r>
        <w:rPr>
          <w:rFonts w:hint="eastAsia" w:ascii="Tahoma" w:hAnsi="Tahoma" w:eastAsia="微软雅黑"/>
          <w:sz w:val="24"/>
        </w:rPr>
        <w:t>向潜在参观商传真展会参观邀请函，并定期电话跟踪以确保他们参与展会并用于市场调查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广播电台及电视广告：</w:t>
      </w:r>
      <w:r>
        <w:rPr>
          <w:rFonts w:hint="eastAsia" w:ascii="Tahoma" w:hAnsi="Tahoma" w:eastAsia="微软雅黑"/>
          <w:sz w:val="24"/>
        </w:rPr>
        <w:t>在展会开展前期进行广播电台及电视广告的播放，及时提醒吸引买家前往参观采购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报纸及杂志广告：</w:t>
      </w:r>
      <w:r>
        <w:rPr>
          <w:rFonts w:hint="eastAsia" w:ascii="Tahoma" w:hAnsi="Tahoma" w:eastAsia="微软雅黑"/>
          <w:sz w:val="24"/>
        </w:rPr>
        <w:t>在主流的报纸、杂志上投放平面广告，持续宣传展会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户外广告：</w:t>
      </w:r>
      <w:r>
        <w:rPr>
          <w:rFonts w:hint="eastAsia" w:ascii="Tahoma" w:hAnsi="Tahoma" w:eastAsia="微软雅黑"/>
          <w:sz w:val="24"/>
        </w:rPr>
        <w:t>在重点商贸城、批发城以及展馆外围投放广告牌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专业批发市场买家直邀：</w:t>
      </w:r>
      <w:r>
        <w:rPr>
          <w:rFonts w:hint="eastAsia" w:ascii="Tahoma" w:hAnsi="Tahoma" w:eastAsia="微软雅黑"/>
          <w:sz w:val="24"/>
        </w:rPr>
        <w:t>覆盖重点商贸城、批发城，派发邀请函邀约买家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商务邀请函直邮推广：</w:t>
      </w:r>
      <w:r>
        <w:rPr>
          <w:rFonts w:hint="eastAsia" w:ascii="Tahoma" w:hAnsi="Tahoma" w:eastAsia="微软雅黑"/>
          <w:sz w:val="24"/>
        </w:rPr>
        <w:t>印制宣传彩页，直接寄送给重点买家，邀请其前来观展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行业协会推广：</w:t>
      </w:r>
      <w:r>
        <w:rPr>
          <w:rFonts w:hint="eastAsia" w:ascii="Tahoma" w:hAnsi="Tahoma" w:eastAsia="微软雅黑"/>
          <w:sz w:val="24"/>
        </w:rPr>
        <w:t>与相关商协会联合，借助其会员资源宣传展览，并组团前来洽谈采购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电商平台推广：</w:t>
      </w:r>
      <w:r>
        <w:rPr>
          <w:rFonts w:hint="eastAsia" w:ascii="Tahoma" w:hAnsi="Tahoma" w:eastAsia="微软雅黑"/>
          <w:sz w:val="24"/>
        </w:rPr>
        <w:t>在知名电商平台推广，推动电商买家参加展会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星级商务酒店推广：</w:t>
      </w:r>
      <w:r>
        <w:rPr>
          <w:rFonts w:hint="eastAsia" w:ascii="Tahoma" w:hAnsi="Tahoma" w:eastAsia="微软雅黑"/>
          <w:sz w:val="24"/>
        </w:rPr>
        <w:t>在当地星级商务连锁酒店投放广告，推广展会品牌，让更多的商圈买家知道该展会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社交媒体及网络媒体推广：</w:t>
      </w:r>
      <w:r>
        <w:rPr>
          <w:rFonts w:hint="eastAsia" w:ascii="Tahoma" w:hAnsi="Tahoma" w:eastAsia="微软雅黑"/>
          <w:sz w:val="24"/>
        </w:rPr>
        <w:t>全球三大主流社交媒体及当地主流网络媒体推广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新闻发布会推广：</w:t>
      </w:r>
      <w:r>
        <w:rPr>
          <w:rFonts w:hint="eastAsia" w:ascii="Tahoma" w:hAnsi="Tahoma" w:eastAsia="微软雅黑"/>
          <w:sz w:val="24"/>
        </w:rPr>
        <w:t>邀约当地主流媒体进行展会发布推广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手机短信推广：</w:t>
      </w:r>
      <w:r>
        <w:rPr>
          <w:rFonts w:hint="eastAsia" w:ascii="Tahoma" w:hAnsi="Tahoma" w:eastAsia="微软雅黑"/>
          <w:sz w:val="24"/>
        </w:rPr>
        <w:t>发送邀约短信给到专业礼品及家庭用品买家</w:t>
      </w: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pStyle w:val="17"/>
        <w:numPr>
          <w:ilvl w:val="0"/>
          <w:numId w:val="6"/>
        </w:numPr>
        <w:spacing w:line="360" w:lineRule="auto"/>
        <w:ind w:firstLineChars="0"/>
        <w:jc w:val="left"/>
        <w:rPr>
          <w:rFonts w:ascii="微软雅黑" w:hAnsi="微软雅黑" w:eastAsia="微软雅黑" w:cs="微软雅黑"/>
          <w:b/>
          <w:kern w:val="0"/>
          <w:sz w:val="28"/>
          <w:szCs w:val="28"/>
        </w:rPr>
      </w:pPr>
      <w:bookmarkStart w:id="6" w:name="_Hlk118217304"/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展馆概况</w:t>
      </w:r>
    </w:p>
    <w:p>
      <w:pPr>
        <w:pStyle w:val="7"/>
        <w:shd w:val="clear" w:color="auto" w:fill="FFFFFF"/>
        <w:spacing w:before="0" w:beforeAutospacing="0" w:after="0" w:afterAutospacing="0"/>
        <w:ind w:left="567" w:leftChars="270"/>
        <w:rPr>
          <w:rFonts w:ascii="Tahoma" w:hAnsi="Tahoma" w:eastAsia="微软雅黑" w:cstheme="minorBidi"/>
          <w:kern w:val="2"/>
        </w:rPr>
      </w:pPr>
      <w:r>
        <w:rPr>
          <w:rFonts w:ascii="Tahoma" w:hAnsi="Tahoma" w:eastAsia="微软雅黑" w:cstheme="minorBidi"/>
          <w:kern w:val="2"/>
        </w:rPr>
        <w:t>雅加达会展中心Jakarta International Expo位于印度尼西亚雅加达，成立于1992年，有着20多年举办大型活动的经验。会议中心占地面积120,000平方米，包括一个圆形剧场式大厅（大会堂），</w:t>
      </w:r>
      <w:r>
        <w:rPr>
          <w:rFonts w:hint="eastAsia" w:ascii="Tahoma" w:hAnsi="Tahoma" w:eastAsia="微软雅黑" w:cstheme="minorBidi"/>
          <w:kern w:val="2"/>
        </w:rPr>
        <w:t>四</w:t>
      </w:r>
      <w:r>
        <w:rPr>
          <w:rFonts w:ascii="Tahoma" w:hAnsi="Tahoma" w:eastAsia="微软雅黑" w:cstheme="minorBidi"/>
          <w:kern w:val="2"/>
        </w:rPr>
        <w:t>个展馆，一个礼堂，一个宴会厅，一间宽敞的主大厅和低层大堂，贵宾室和休息室。中心还设有商务中心和6000个停车位。</w:t>
      </w:r>
    </w:p>
    <w:p>
      <w:pPr>
        <w:pStyle w:val="7"/>
        <w:shd w:val="clear" w:color="auto" w:fill="FFFFFF"/>
        <w:spacing w:before="0" w:beforeAutospacing="0" w:after="0" w:afterAutospacing="0"/>
        <w:ind w:left="567" w:leftChars="270"/>
        <w:rPr>
          <w:rFonts w:ascii="Tahoma" w:hAnsi="Tahoma" w:eastAsia="微软雅黑" w:cstheme="minorBidi"/>
          <w:kern w:val="2"/>
        </w:rPr>
      </w:pPr>
      <w:r>
        <w:rPr>
          <w:rFonts w:ascii="Tahoma" w:hAnsi="Tahoma" w:eastAsia="微软雅黑" w:cstheme="minorBidi"/>
          <w:kern w:val="2"/>
        </w:rPr>
        <w:t>雅加达会展中心位于</w:t>
      </w:r>
      <w:r>
        <w:rPr>
          <w:rFonts w:hint="eastAsia" w:ascii="Tahoma" w:hAnsi="Tahoma" w:eastAsia="微软雅黑" w:cstheme="minorBidi"/>
          <w:kern w:val="2"/>
        </w:rPr>
        <w:t>印尼</w:t>
      </w:r>
      <w:r>
        <w:rPr>
          <w:rFonts w:ascii="Tahoma" w:hAnsi="Tahoma" w:eastAsia="微软雅黑" w:cstheme="minorBidi"/>
          <w:kern w:val="2"/>
        </w:rPr>
        <w:t>雅加达中部。它拥有一个容纳5000个座位的大厅，雅加达会展中心也有一个3921立方米的礼堂，并且包含了13个大小不同的会议室。</w:t>
      </w:r>
    </w:p>
    <w:bookmarkEnd w:id="6"/>
    <w:p>
      <w:pPr>
        <w:rPr>
          <w:rFonts w:ascii="微软雅黑" w:hAnsi="微软雅黑" w:eastAsia="微软雅黑" w:cs="宋体"/>
          <w:b/>
          <w:bCs/>
          <w:sz w:val="2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266065</wp:posOffset>
            </wp:positionV>
            <wp:extent cx="6271260" cy="3104515"/>
            <wp:effectExtent l="0" t="0" r="0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310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16"/>
          <w:szCs w:val="16"/>
        </w:rPr>
      </w:pPr>
    </w:p>
    <w:p>
      <w:pPr>
        <w:rPr>
          <w:rFonts w:ascii="微软雅黑" w:hAnsi="微软雅黑" w:eastAsia="微软雅黑" w:cs="宋体"/>
          <w:b/>
          <w:bCs/>
          <w:sz w:val="16"/>
          <w:szCs w:val="16"/>
        </w:rPr>
      </w:pPr>
    </w:p>
    <w:p>
      <w:pPr>
        <w:rPr>
          <w:rFonts w:ascii="微软雅黑" w:hAnsi="微软雅黑" w:eastAsia="微软雅黑" w:cs="宋体"/>
          <w:b/>
          <w:bCs/>
          <w:sz w:val="16"/>
          <w:szCs w:val="16"/>
        </w:rPr>
      </w:pPr>
    </w:p>
    <w:p>
      <w:pPr>
        <w:rPr>
          <w:rFonts w:ascii="微软雅黑" w:hAnsi="微软雅黑" w:eastAsia="微软雅黑" w:cs="宋体"/>
          <w:b/>
          <w:bCs/>
          <w:sz w:val="16"/>
          <w:szCs w:val="16"/>
        </w:rPr>
      </w:pPr>
    </w:p>
    <w:p>
      <w:pPr>
        <w:rPr>
          <w:rFonts w:ascii="微软雅黑" w:hAnsi="微软雅黑" w:eastAsia="微软雅黑" w:cs="宋体"/>
          <w:b/>
          <w:bCs/>
          <w:sz w:val="16"/>
          <w:szCs w:val="16"/>
        </w:rPr>
      </w:pPr>
    </w:p>
    <w:p>
      <w:pPr>
        <w:spacing w:line="0" w:lineRule="atLeast"/>
        <w:jc w:val="both"/>
        <w:rPr>
          <w:rFonts w:ascii="微软雅黑" w:hAnsi="微软雅黑" w:eastAsia="微软雅黑"/>
          <w:b/>
          <w:bCs/>
          <w:sz w:val="30"/>
          <w:szCs w:val="30"/>
        </w:rPr>
      </w:pPr>
      <w:bookmarkStart w:id="7" w:name="_GoBack"/>
      <w:bookmarkEnd w:id="7"/>
    </w:p>
    <w:sectPr>
      <w:headerReference r:id="rId3" w:type="default"/>
      <w:pgSz w:w="11906" w:h="16838"/>
      <w:pgMar w:top="2127" w:right="720" w:bottom="720" w:left="720" w:header="23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 w:ascii="微软雅黑" w:hAnsi="微软雅黑" w:eastAsia="微软雅黑" w:cs="微软雅黑"/>
        <w:sz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5012055</wp:posOffset>
          </wp:positionH>
          <wp:positionV relativeFrom="paragraph">
            <wp:posOffset>-635</wp:posOffset>
          </wp:positionV>
          <wp:extent cx="1479550" cy="853440"/>
          <wp:effectExtent l="0" t="0" r="0" b="0"/>
          <wp:wrapNone/>
          <wp:docPr id="1113778675" name="图片 1113778675" descr="IGHE-LOGO - 20200115改色印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778675" name="图片 1113778675" descr="IGHE-LOGO - 20200115改色印尼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818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-2540</wp:posOffset>
          </wp:positionV>
          <wp:extent cx="3512185" cy="910590"/>
          <wp:effectExtent l="0" t="0" r="12065" b="3810"/>
          <wp:wrapNone/>
          <wp:docPr id="1422350128" name="图片 1422350128" descr="潮域logo - UFI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350128" name="图片 1422350128" descr="潮域logo - UFI-0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12185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jc w:val="center"/>
    </w:pPr>
    <w:r>
      <w:rPr>
        <w:rFonts w:hint="eastAsia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20309"/>
    <w:multiLevelType w:val="multilevel"/>
    <w:tmpl w:val="01820309"/>
    <w:lvl w:ilvl="0" w:tentative="0">
      <w:start w:val="1"/>
      <w:numFmt w:val="bullet"/>
      <w:lvlText w:val="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">
    <w:nsid w:val="25D47CC2"/>
    <w:multiLevelType w:val="multilevel"/>
    <w:tmpl w:val="25D47CC2"/>
    <w:lvl w:ilvl="0" w:tentative="0">
      <w:start w:val="1"/>
      <w:numFmt w:val="bullet"/>
      <w:lvlText w:val=""/>
      <w:lvlJc w:val="left"/>
      <w:pPr>
        <w:ind w:left="112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4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8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0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2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6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88" w:hanging="420"/>
      </w:pPr>
      <w:rPr>
        <w:rFonts w:hint="default" w:ascii="Wingdings" w:hAnsi="Wingdings"/>
      </w:rPr>
    </w:lvl>
  </w:abstractNum>
  <w:abstractNum w:abstractNumId="2">
    <w:nsid w:val="3DA344D2"/>
    <w:multiLevelType w:val="multilevel"/>
    <w:tmpl w:val="3DA344D2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0761BC"/>
    <w:multiLevelType w:val="multilevel"/>
    <w:tmpl w:val="5F0761BC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4">
    <w:nsid w:val="7832568B"/>
    <w:multiLevelType w:val="multilevel"/>
    <w:tmpl w:val="7832568B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5">
    <w:nsid w:val="785A58FE"/>
    <w:multiLevelType w:val="multilevel"/>
    <w:tmpl w:val="785A58F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微软雅黑" w:hAnsi="微软雅黑" w:eastAsia="微软雅黑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172A27"/>
    <w:rsid w:val="000015A4"/>
    <w:rsid w:val="000574AD"/>
    <w:rsid w:val="00065994"/>
    <w:rsid w:val="00086CD1"/>
    <w:rsid w:val="000B451E"/>
    <w:rsid w:val="000E2CC2"/>
    <w:rsid w:val="00145467"/>
    <w:rsid w:val="00172A27"/>
    <w:rsid w:val="001742D9"/>
    <w:rsid w:val="001A7BA3"/>
    <w:rsid w:val="001B3F05"/>
    <w:rsid w:val="001D58EE"/>
    <w:rsid w:val="001F0282"/>
    <w:rsid w:val="002727A2"/>
    <w:rsid w:val="00355A91"/>
    <w:rsid w:val="003A63FC"/>
    <w:rsid w:val="003B2916"/>
    <w:rsid w:val="003C25EE"/>
    <w:rsid w:val="003D5923"/>
    <w:rsid w:val="00432812"/>
    <w:rsid w:val="00433417"/>
    <w:rsid w:val="004D3779"/>
    <w:rsid w:val="004F1F78"/>
    <w:rsid w:val="005121DF"/>
    <w:rsid w:val="005410E0"/>
    <w:rsid w:val="005435E2"/>
    <w:rsid w:val="0055597D"/>
    <w:rsid w:val="00626561"/>
    <w:rsid w:val="0064584E"/>
    <w:rsid w:val="0066275D"/>
    <w:rsid w:val="00691AF4"/>
    <w:rsid w:val="006F1769"/>
    <w:rsid w:val="007140E7"/>
    <w:rsid w:val="00760A82"/>
    <w:rsid w:val="007B2744"/>
    <w:rsid w:val="007C08F7"/>
    <w:rsid w:val="00821F09"/>
    <w:rsid w:val="0084050B"/>
    <w:rsid w:val="00861208"/>
    <w:rsid w:val="00861886"/>
    <w:rsid w:val="00883C6E"/>
    <w:rsid w:val="008E024D"/>
    <w:rsid w:val="0090067A"/>
    <w:rsid w:val="0092710F"/>
    <w:rsid w:val="009F1A73"/>
    <w:rsid w:val="00A0550D"/>
    <w:rsid w:val="00A72B8A"/>
    <w:rsid w:val="00AD26FB"/>
    <w:rsid w:val="00AE2DA7"/>
    <w:rsid w:val="00B8409C"/>
    <w:rsid w:val="00BB2FB3"/>
    <w:rsid w:val="00BF5689"/>
    <w:rsid w:val="00C465AD"/>
    <w:rsid w:val="00C53951"/>
    <w:rsid w:val="00C70D1A"/>
    <w:rsid w:val="00C823E8"/>
    <w:rsid w:val="00C9586C"/>
    <w:rsid w:val="00D119F7"/>
    <w:rsid w:val="00D8426D"/>
    <w:rsid w:val="00E20074"/>
    <w:rsid w:val="00E54BF8"/>
    <w:rsid w:val="00F25BA4"/>
    <w:rsid w:val="00F27B85"/>
    <w:rsid w:val="00F51942"/>
    <w:rsid w:val="00F95812"/>
    <w:rsid w:val="00FA095F"/>
    <w:rsid w:val="01F661F3"/>
    <w:rsid w:val="0F8F0106"/>
    <w:rsid w:val="0FCD2008"/>
    <w:rsid w:val="10EB3A25"/>
    <w:rsid w:val="16625768"/>
    <w:rsid w:val="16AA1A50"/>
    <w:rsid w:val="170C256E"/>
    <w:rsid w:val="1ACD0F82"/>
    <w:rsid w:val="2114730B"/>
    <w:rsid w:val="2C3C12DD"/>
    <w:rsid w:val="2D157530"/>
    <w:rsid w:val="33FE227E"/>
    <w:rsid w:val="37B87D95"/>
    <w:rsid w:val="3B7A0A01"/>
    <w:rsid w:val="3C940DD1"/>
    <w:rsid w:val="3F6F342F"/>
    <w:rsid w:val="40C56A69"/>
    <w:rsid w:val="429A58FE"/>
    <w:rsid w:val="44716CE5"/>
    <w:rsid w:val="4E2E73DD"/>
    <w:rsid w:val="522A5488"/>
    <w:rsid w:val="53BC5880"/>
    <w:rsid w:val="574F8EC5"/>
    <w:rsid w:val="63542229"/>
    <w:rsid w:val="666003B6"/>
    <w:rsid w:val="680A6BC5"/>
    <w:rsid w:val="6AA24273"/>
    <w:rsid w:val="6E400E46"/>
    <w:rsid w:val="725702C2"/>
    <w:rsid w:val="740A754B"/>
    <w:rsid w:val="75A25E8D"/>
    <w:rsid w:val="76786D20"/>
    <w:rsid w:val="7A480BA2"/>
    <w:rsid w:val="7BF50860"/>
    <w:rsid w:val="7DDB39F1"/>
    <w:rsid w:val="7E231318"/>
    <w:rsid w:val="7F5F2578"/>
    <w:rsid w:val="7F963B3B"/>
    <w:rsid w:val="7FF78074"/>
    <w:rsid w:val="7FFF447D"/>
    <w:rsid w:val="BA1BE190"/>
    <w:rsid w:val="F59FEBDF"/>
    <w:rsid w:val="FCF7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4 字符"/>
    <w:basedOn w:val="10"/>
    <w:link w:val="3"/>
    <w:qFormat/>
    <w:uiPriority w:val="9"/>
    <w:rPr>
      <w:rFonts w:ascii="宋体" w:hAnsi="宋体" w:eastAsia="宋体" w:cs="宋体"/>
      <w:b/>
      <w:bCs/>
      <w:sz w:val="24"/>
      <w:szCs w:val="24"/>
    </w:rPr>
  </w:style>
  <w:style w:type="character" w:customStyle="1" w:styleId="13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4">
    <w:name w:val="标题 字符"/>
    <w:basedOn w:val="10"/>
    <w:link w:val="8"/>
    <w:autoRedefine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标题 1 字符"/>
    <w:basedOn w:val="10"/>
    <w:link w:val="2"/>
    <w:autoRedefine/>
    <w:qFormat/>
    <w:uiPriority w:val="0"/>
    <w:rPr>
      <w:b/>
      <w:bCs/>
      <w:kern w:val="44"/>
      <w:sz w:val="44"/>
      <w:szCs w:val="44"/>
    </w:rPr>
  </w:style>
  <w:style w:type="paragraph" w:customStyle="1" w:styleId="16">
    <w:name w:val="列表段落1"/>
    <w:basedOn w:val="1"/>
    <w:unhideWhenUsed/>
    <w:qFormat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441</Words>
  <Characters>2517</Characters>
  <Lines>20</Lines>
  <Paragraphs>5</Paragraphs>
  <TotalTime>10</TotalTime>
  <ScaleCrop>false</ScaleCrop>
  <LinksUpToDate>false</LinksUpToDate>
  <CharactersWithSpaces>2953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2023-09-15T02:52:00Z</dcterms:created>
  <dc:creator>Hou huaizhi</dc:creator>
  <cp:lastModifiedBy>zsari-ss</cp:lastModifiedBy>
  <cp:lastPrinted>2019-11-15T10:13:00Z</cp:lastPrinted>
  <dcterms:modified xsi:type="dcterms:W3CDTF">2024-03-27T10:07:46Z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5C832C9F0FF442D7B6C644B748233CDB</vt:lpwstr>
  </property>
</Properties>
</file>