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500" w:lineRule="exact"/>
        <w:ind w:firstLine="1320" w:firstLineChars="3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中山市殡葬管理中心项目采购评审表</w:t>
      </w:r>
      <w:r>
        <w:rPr>
          <w:rFonts w:hint="eastAsia" w:ascii="黑体" w:hAnsi="黑体" w:eastAsia="黑体" w:cs="黑体"/>
          <w:sz w:val="44"/>
          <w:szCs w:val="44"/>
        </w:rPr>
        <w:t>（服务类）</w:t>
      </w:r>
    </w:p>
    <w:p>
      <w:pPr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辅助服务工作项目</w:t>
      </w:r>
    </w:p>
    <w:tbl>
      <w:tblPr>
        <w:tblStyle w:val="3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064"/>
        <w:gridCol w:w="850"/>
        <w:gridCol w:w="2383"/>
        <w:gridCol w:w="2532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评审指标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单位2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总体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履约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能力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服务目标明确、服务质量周全、工作内容及相关保障措施恰当，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企业信用良好；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14-20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服务目标较明确、服务质量较周全、工作内容及相关保障措施较恰当，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企业信用良好；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8-13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服务没有目标、服务质量不周全、工作内容匮乏、没有相关保障措施，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企业信用一般；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1-7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或有相关违法失信行为的，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服务方案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服务方案、服务流程内容清晰、目标明确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、有针对性；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20-25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服务方案、服务流程内容较清晰、目标较明确；得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13-19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服务方案、服务流程内容单调、目标不明确，未能提出针对性较专业的服务方案；得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6-12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ind w:left="221" w:hanging="221" w:hangingChars="100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目标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较差，或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无方案，得0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-5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投入本项目的人员保障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人员保障配备很好，专业性完全符合，人事管理制度、薪酬激励制度等较完善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23-30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人员保障配备较好，专业性部分相符，人事管理制度、薪酬激励制度等整体较好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15-22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人员保障配备一般，专业性仅相近，人事管理制度、薪酬激励制度等整体一般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8-14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人员保障配备较差，专业性不一致，人事管理制度、薪酬激励制度等整体简单，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或没有人员保障相关描述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，得0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历史业绩（需提供合同复印件，否则不得分）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每提供1个曾经承接过相似服务项目得2分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满分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报价情况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（采用低价优先法计算分值）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firstLine="640"/>
        <w:rPr>
          <w:rFonts w:hint="eastAsia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日期：  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spacing w:line="220" w:lineRule="atLeast"/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DhkNzAyMzkyNzFkYzM1ODcyODY5ODc0OGE5ZjcifQ=="/>
  </w:docVars>
  <w:rsids>
    <w:rsidRoot w:val="00D31D50"/>
    <w:rsid w:val="00323B43"/>
    <w:rsid w:val="003D37D8"/>
    <w:rsid w:val="00426133"/>
    <w:rsid w:val="004358AB"/>
    <w:rsid w:val="008B7726"/>
    <w:rsid w:val="00D31D50"/>
    <w:rsid w:val="0D597A12"/>
    <w:rsid w:val="29461BC4"/>
    <w:rsid w:val="374E48D4"/>
    <w:rsid w:val="4A577B7B"/>
    <w:rsid w:val="4B087B24"/>
    <w:rsid w:val="4FD4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2024-03-19T01:40:51Z</cp:lastPrinted>
  <dcterms:modified xsi:type="dcterms:W3CDTF">2024-03-19T01:42:03Z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FB4C74522CC043EAA4D973A28D4D3116_13</vt:lpwstr>
  </property>
</Properties>
</file>