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color w:val="auto"/>
          <w:spacing w:val="-6"/>
          <w:sz w:val="44"/>
          <w:szCs w:val="44"/>
          <w:lang w:val="en-US" w:eastAsia="zh-CN"/>
        </w:rPr>
      </w:pPr>
      <w:r>
        <w:rPr>
          <w:rFonts w:hint="eastAsia" w:ascii="方正小标宋简体" w:hAnsi="方正小标宋简体" w:eastAsia="方正小标宋简体" w:cs="方正小标宋简体"/>
          <w:color w:val="auto"/>
          <w:spacing w:val="-6"/>
          <w:sz w:val="44"/>
          <w:szCs w:val="44"/>
          <w:lang w:val="en-US" w:eastAsia="zh-CN"/>
        </w:rPr>
        <w:t>中山市板芙镇里溪村第二经济合作社项目</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小标宋简体" w:hAnsi="方正小标宋简体" w:eastAsia="方正小标宋简体" w:cs="方正小标宋简体"/>
          <w:color w:val="auto"/>
          <w:spacing w:val="-6"/>
          <w:kern w:val="0"/>
          <w:sz w:val="44"/>
          <w:szCs w:val="44"/>
        </w:rPr>
      </w:pPr>
      <w:r>
        <w:rPr>
          <w:rFonts w:hint="eastAsia" w:ascii="方正小标宋简体" w:hAnsi="方正小标宋简体" w:eastAsia="方正小标宋简体" w:cs="方正小标宋简体"/>
          <w:color w:val="auto"/>
          <w:spacing w:val="-6"/>
          <w:sz w:val="44"/>
          <w:szCs w:val="44"/>
          <w:lang w:val="en-US" w:eastAsia="zh-CN"/>
        </w:rPr>
        <w:t>低效工业用地改造</w:t>
      </w:r>
      <w:r>
        <w:rPr>
          <w:rFonts w:hint="eastAsia" w:ascii="方正小标宋简体" w:hAnsi="方正小标宋简体" w:eastAsia="方正小标宋简体" w:cs="方正小标宋简体"/>
          <w:color w:val="auto"/>
          <w:spacing w:val="-6"/>
          <w:sz w:val="44"/>
          <w:szCs w:val="44"/>
        </w:rPr>
        <w:t>方案</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根据</w:t>
      </w:r>
      <w:r>
        <w:rPr>
          <w:rFonts w:hint="eastAsia" w:ascii="仿宋_GB2312" w:hAnsi="仿宋_GB2312" w:eastAsia="仿宋_GB2312" w:cs="仿宋_GB2312"/>
          <w:color w:val="auto"/>
          <w:spacing w:val="-6"/>
          <w:kern w:val="0"/>
          <w:sz w:val="32"/>
          <w:szCs w:val="32"/>
          <w:lang w:eastAsia="zh-CN"/>
        </w:rPr>
        <w:t>经批复规划条件论证</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kern w:val="0"/>
          <w:sz w:val="32"/>
          <w:szCs w:val="32"/>
          <w:lang w:eastAsia="zh-CN"/>
        </w:rPr>
        <w:t>板芙</w:t>
      </w:r>
      <w:r>
        <w:rPr>
          <w:rFonts w:hint="eastAsia" w:ascii="仿宋_GB2312" w:hAnsi="仿宋_GB2312" w:eastAsia="仿宋_GB2312" w:cs="仿宋_GB2312"/>
          <w:color w:val="auto"/>
          <w:spacing w:val="-6"/>
          <w:kern w:val="0"/>
          <w:sz w:val="32"/>
          <w:szCs w:val="32"/>
        </w:rPr>
        <w:t>镇人民政府拟对位于</w:t>
      </w:r>
      <w:r>
        <w:rPr>
          <w:rFonts w:hint="eastAsia" w:ascii="仿宋_GB2312" w:hAnsi="仿宋_GB2312" w:eastAsia="仿宋_GB2312" w:cs="仿宋_GB2312"/>
          <w:color w:val="auto"/>
          <w:spacing w:val="-6"/>
          <w:kern w:val="0"/>
          <w:sz w:val="32"/>
          <w:szCs w:val="32"/>
          <w:lang w:eastAsia="zh-CN"/>
        </w:rPr>
        <w:t>板芙镇里溪村第二经济合作社（下称“里溪二队”）</w:t>
      </w:r>
      <w:r>
        <w:rPr>
          <w:rFonts w:hint="eastAsia" w:ascii="仿宋_GB2312" w:hAnsi="仿宋_GB2312" w:eastAsia="仿宋_GB2312" w:cs="仿宋_GB2312"/>
          <w:color w:val="auto"/>
          <w:spacing w:val="-6"/>
          <w:kern w:val="0"/>
          <w:sz w:val="32"/>
          <w:szCs w:val="32"/>
          <w:lang w:val="en-US" w:eastAsia="zh-CN"/>
        </w:rPr>
        <w:t>低效工业</w:t>
      </w:r>
      <w:r>
        <w:rPr>
          <w:rFonts w:hint="eastAsia" w:ascii="仿宋_GB2312" w:hAnsi="仿宋_GB2312" w:eastAsia="仿宋_GB2312" w:cs="仿宋_GB2312"/>
          <w:color w:val="auto"/>
          <w:spacing w:val="-6"/>
          <w:kern w:val="0"/>
          <w:sz w:val="32"/>
          <w:szCs w:val="32"/>
        </w:rPr>
        <w:t>用地进行</w:t>
      </w:r>
      <w:r>
        <w:rPr>
          <w:rFonts w:hint="eastAsia" w:ascii="仿宋_GB2312" w:hAnsi="仿宋_GB2312" w:eastAsia="仿宋_GB2312" w:cs="仿宋_GB2312"/>
          <w:color w:val="auto"/>
          <w:spacing w:val="-6"/>
          <w:kern w:val="0"/>
          <w:sz w:val="32"/>
          <w:szCs w:val="32"/>
          <w:lang w:val="en-US" w:eastAsia="zh-CN"/>
        </w:rPr>
        <w:t>改造</w:t>
      </w:r>
      <w:r>
        <w:rPr>
          <w:rFonts w:hint="eastAsia" w:ascii="仿宋_GB2312" w:hAnsi="仿宋_GB2312" w:eastAsia="仿宋_GB2312" w:cs="仿宋_GB2312"/>
          <w:color w:val="auto"/>
          <w:spacing w:val="-6"/>
          <w:kern w:val="0"/>
          <w:sz w:val="32"/>
          <w:szCs w:val="32"/>
        </w:rPr>
        <w:t>，由</w:t>
      </w:r>
      <w:r>
        <w:rPr>
          <w:rFonts w:hint="eastAsia" w:ascii="仿宋_GB2312" w:hAnsi="仿宋_GB2312" w:eastAsia="仿宋_GB2312" w:cs="仿宋_GB2312"/>
          <w:color w:val="auto"/>
          <w:spacing w:val="-6"/>
          <w:kern w:val="0"/>
          <w:sz w:val="32"/>
          <w:szCs w:val="32"/>
          <w:lang w:val="en-US" w:eastAsia="zh-CN"/>
        </w:rPr>
        <w:t>政府整备改造</w:t>
      </w:r>
      <w:r>
        <w:rPr>
          <w:rFonts w:hint="eastAsia" w:ascii="仿宋_GB2312" w:hAnsi="仿宋_GB2312" w:eastAsia="仿宋_GB2312" w:cs="仿宋_GB2312"/>
          <w:color w:val="auto"/>
          <w:spacing w:val="-6"/>
          <w:kern w:val="0"/>
          <w:sz w:val="32"/>
          <w:szCs w:val="32"/>
        </w:rPr>
        <w:t>，采取全面改造的改造方式。</w:t>
      </w:r>
      <w:r>
        <w:rPr>
          <w:rFonts w:hint="eastAsia" w:ascii="仿宋_GB2312" w:hAnsi="仿宋_GB2312" w:eastAsia="仿宋_GB2312" w:cs="仿宋_GB2312"/>
          <w:color w:val="auto"/>
          <w:spacing w:val="-6"/>
          <w:kern w:val="0"/>
          <w:sz w:val="32"/>
          <w:szCs w:val="32"/>
          <w:lang w:val="en-US" w:eastAsia="zh-CN"/>
        </w:rPr>
        <w:t>改造</w:t>
      </w:r>
      <w:r>
        <w:rPr>
          <w:rFonts w:hint="eastAsia" w:ascii="仿宋_GB2312" w:hAnsi="仿宋_GB2312" w:eastAsia="仿宋_GB2312" w:cs="仿宋_GB2312"/>
          <w:color w:val="auto"/>
          <w:spacing w:val="-6"/>
          <w:kern w:val="0"/>
          <w:sz w:val="32"/>
          <w:szCs w:val="32"/>
        </w:rPr>
        <w:t>方案如下：</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一、地块基本情况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lang w:eastAsia="zh-CN"/>
        </w:rPr>
      </w:pPr>
      <w:r>
        <w:rPr>
          <w:rFonts w:hint="eastAsia" w:ascii="楷体" w:hAnsi="楷体" w:eastAsia="楷体" w:cs="楷体"/>
          <w:color w:val="auto"/>
          <w:spacing w:val="-6"/>
          <w:sz w:val="32"/>
          <w:szCs w:val="32"/>
        </w:rPr>
        <w:t>（一）总体情况</w:t>
      </w:r>
    </w:p>
    <w:p>
      <w:pPr>
        <w:spacing w:line="574" w:lineRule="exact"/>
        <w:ind w:firstLine="616" w:firstLineChars="200"/>
        <w:outlineLvl w:val="9"/>
        <w:rPr>
          <w:rFonts w:hint="default"/>
          <w:strike w:val="0"/>
          <w:color w:val="auto"/>
          <w:lang w:val="en-US" w:eastAsia="zh-CN"/>
        </w:rPr>
      </w:pPr>
      <w:r>
        <w:rPr>
          <w:rFonts w:hint="eastAsia" w:ascii="仿宋_GB2312" w:hAnsi="仿宋_GB2312" w:eastAsia="仿宋_GB2312" w:cs="仿宋_GB2312"/>
          <w:color w:val="auto"/>
          <w:spacing w:val="-6"/>
          <w:sz w:val="32"/>
          <w:szCs w:val="32"/>
          <w:lang w:val="en-US" w:eastAsia="zh-CN"/>
        </w:rPr>
        <w:t>改造</w:t>
      </w:r>
      <w:r>
        <w:rPr>
          <w:rFonts w:hint="eastAsia" w:ascii="仿宋_GB2312" w:hAnsi="仿宋_GB2312" w:eastAsia="仿宋_GB2312" w:cs="仿宋_GB2312"/>
          <w:color w:val="auto"/>
          <w:spacing w:val="-6"/>
          <w:sz w:val="32"/>
          <w:szCs w:val="32"/>
          <w:lang w:eastAsia="zh-CN"/>
        </w:rPr>
        <w:t>范围</w:t>
      </w:r>
      <w:r>
        <w:rPr>
          <w:rFonts w:hint="eastAsia" w:ascii="仿宋_GB2312" w:hAnsi="仿宋_GB2312" w:eastAsia="仿宋_GB2312" w:cs="仿宋_GB2312"/>
          <w:color w:val="auto"/>
          <w:spacing w:val="-6"/>
          <w:sz w:val="32"/>
          <w:szCs w:val="32"/>
        </w:rPr>
        <w:t>位于</w:t>
      </w:r>
      <w:r>
        <w:rPr>
          <w:rFonts w:hint="eastAsia" w:ascii="仿宋_GB2312" w:hAnsi="仿宋_GB2312" w:eastAsia="仿宋_GB2312" w:cs="仿宋_GB2312"/>
          <w:color w:val="auto"/>
          <w:spacing w:val="-6"/>
          <w:sz w:val="32"/>
          <w:szCs w:val="32"/>
          <w:lang w:eastAsia="zh-CN"/>
        </w:rPr>
        <w:t>板芙镇里溪村，北至金钟涌，南至顺宏路，东至宏昇国际发展有限公司用地，西至好景路，</w:t>
      </w:r>
      <w:r>
        <w:rPr>
          <w:rFonts w:hint="eastAsia" w:ascii="仿宋_GB2312" w:hAnsi="仿宋_GB2312" w:eastAsia="仿宋_GB2312" w:cs="仿宋_GB2312"/>
          <w:color w:val="auto"/>
          <w:spacing w:val="-6"/>
          <w:sz w:val="32"/>
          <w:szCs w:val="32"/>
          <w:lang w:val="en-US" w:eastAsia="zh-CN"/>
        </w:rPr>
        <w:t>总用地面积1.8535公顷（18534.90平方米，折合约27.80亩），纳入改造范围</w:t>
      </w:r>
      <w:r>
        <w:rPr>
          <w:rFonts w:hint="eastAsia" w:ascii="仿宋_GB2312" w:hAnsi="仿宋_GB2312" w:eastAsia="仿宋_GB2312" w:cs="仿宋_GB2312"/>
          <w:color w:val="auto"/>
          <w:spacing w:val="-6"/>
          <w:sz w:val="32"/>
          <w:szCs w:val="32"/>
        </w:rPr>
        <w:t>面积1.6753</w:t>
      </w:r>
      <w:r>
        <w:rPr>
          <w:rFonts w:hint="eastAsia" w:ascii="仿宋_GB2312" w:hAnsi="仿宋_GB2312" w:eastAsia="仿宋_GB2312" w:cs="仿宋_GB2312"/>
          <w:color w:val="auto"/>
          <w:spacing w:val="-6"/>
          <w:sz w:val="32"/>
          <w:szCs w:val="32"/>
          <w:lang w:val="en-US" w:eastAsia="zh-CN"/>
        </w:rPr>
        <w:t>公顷（16752.70</w:t>
      </w:r>
      <w:r>
        <w:rPr>
          <w:rFonts w:hint="eastAsia" w:ascii="仿宋_GB2312" w:hAnsi="仿宋_GB2312" w:eastAsia="仿宋_GB2312" w:cs="仿宋_GB2312"/>
          <w:color w:val="auto"/>
          <w:spacing w:val="-6"/>
          <w:sz w:val="32"/>
          <w:szCs w:val="32"/>
        </w:rPr>
        <w:t>平方米，折合约</w:t>
      </w:r>
      <w:r>
        <w:rPr>
          <w:rFonts w:hint="eastAsia" w:ascii="仿宋_GB2312" w:hAnsi="仿宋_GB2312" w:eastAsia="仿宋_GB2312" w:cs="仿宋_GB2312"/>
          <w:color w:val="auto"/>
          <w:spacing w:val="-6"/>
          <w:sz w:val="32"/>
          <w:szCs w:val="32"/>
          <w:lang w:val="en-US" w:eastAsia="zh-CN"/>
        </w:rPr>
        <w:t>25.13</w:t>
      </w:r>
      <w:r>
        <w:rPr>
          <w:rFonts w:hint="eastAsia" w:ascii="仿宋_GB2312" w:hAnsi="仿宋_GB2312" w:eastAsia="仿宋_GB2312" w:cs="仿宋_GB2312"/>
          <w:color w:val="auto"/>
          <w:spacing w:val="-6"/>
          <w:sz w:val="32"/>
          <w:szCs w:val="32"/>
        </w:rPr>
        <w:t>亩）</w:t>
      </w:r>
      <w:r>
        <w:rPr>
          <w:rFonts w:hint="eastAsia" w:ascii="仿宋_GB2312" w:hAnsi="仿宋_GB2312" w:eastAsia="仿宋_GB2312" w:cs="仿宋_GB2312"/>
          <w:color w:val="auto"/>
          <w:spacing w:val="-6"/>
          <w:sz w:val="32"/>
          <w:szCs w:val="32"/>
          <w:lang w:eastAsia="zh-CN"/>
        </w:rPr>
        <w:t>，共涉及</w:t>
      </w:r>
      <w:r>
        <w:rPr>
          <w:rFonts w:hint="eastAsia" w:ascii="仿宋_GB2312" w:hAnsi="仿宋_GB2312" w:eastAsia="仿宋_GB2312" w:cs="仿宋_GB2312"/>
          <w:color w:val="auto"/>
          <w:spacing w:val="-6"/>
          <w:sz w:val="32"/>
          <w:szCs w:val="32"/>
          <w:lang w:val="en-US" w:eastAsia="zh-CN"/>
        </w:rPr>
        <w:t>2宗用地，</w:t>
      </w:r>
      <w:r>
        <w:rPr>
          <w:rFonts w:hint="eastAsia" w:ascii="仿宋_GB2312" w:hAnsi="仿宋_GB2312" w:eastAsia="仿宋_GB2312" w:cs="仿宋_GB2312"/>
          <w:color w:val="auto"/>
          <w:spacing w:val="-6"/>
          <w:sz w:val="32"/>
          <w:szCs w:val="32"/>
          <w:lang w:eastAsia="zh-CN"/>
        </w:rPr>
        <w:t>其中，地块</w:t>
      </w:r>
      <w:r>
        <w:rPr>
          <w:rFonts w:hint="eastAsia" w:ascii="仿宋_GB2312" w:hAnsi="仿宋_GB2312" w:eastAsia="仿宋_GB2312" w:cs="仿宋_GB2312"/>
          <w:color w:val="auto"/>
          <w:spacing w:val="-6"/>
          <w:sz w:val="32"/>
          <w:szCs w:val="32"/>
          <w:lang w:val="en-US" w:eastAsia="zh-CN"/>
        </w:rPr>
        <w:t>一1.3666公顷（13665.60</w:t>
      </w:r>
      <w:r>
        <w:rPr>
          <w:rFonts w:hint="eastAsia" w:ascii="仿宋_GB2312" w:hAnsi="仿宋_GB2312" w:eastAsia="仿宋_GB2312" w:cs="仿宋_GB2312"/>
          <w:color w:val="auto"/>
          <w:spacing w:val="-6"/>
          <w:sz w:val="32"/>
          <w:szCs w:val="32"/>
        </w:rPr>
        <w:t>平方米，折合约</w:t>
      </w:r>
      <w:r>
        <w:rPr>
          <w:rFonts w:hint="eastAsia" w:ascii="仿宋_GB2312" w:hAnsi="仿宋_GB2312" w:eastAsia="仿宋_GB2312" w:cs="仿宋_GB2312"/>
          <w:color w:val="auto"/>
          <w:spacing w:val="-6"/>
          <w:sz w:val="32"/>
          <w:szCs w:val="32"/>
          <w:lang w:val="en-US" w:eastAsia="zh-CN"/>
        </w:rPr>
        <w:t>20.50</w:t>
      </w:r>
      <w:r>
        <w:rPr>
          <w:rFonts w:hint="eastAsia" w:ascii="仿宋_GB2312" w:hAnsi="仿宋_GB2312" w:eastAsia="仿宋_GB2312" w:cs="仿宋_GB2312"/>
          <w:color w:val="auto"/>
          <w:spacing w:val="-6"/>
          <w:sz w:val="32"/>
          <w:szCs w:val="32"/>
        </w:rPr>
        <w:t>亩</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kern w:val="2"/>
          <w:sz w:val="32"/>
          <w:szCs w:val="32"/>
          <w:lang w:eastAsia="zh-CN"/>
        </w:rPr>
        <w:t>；地块二</w:t>
      </w:r>
      <w:r>
        <w:rPr>
          <w:rFonts w:hint="eastAsia" w:ascii="仿宋_GB2312" w:hAnsi="仿宋_GB2312" w:eastAsia="仿宋_GB2312" w:cs="仿宋_GB2312"/>
          <w:color w:val="auto"/>
          <w:spacing w:val="-6"/>
          <w:kern w:val="2"/>
          <w:sz w:val="32"/>
          <w:szCs w:val="32"/>
          <w:lang w:val="en-US" w:eastAsia="zh-CN"/>
        </w:rPr>
        <w:t>0.3087公顷（3087.10平方米，折合4.63亩）</w:t>
      </w:r>
      <w:r>
        <w:rPr>
          <w:rFonts w:hint="eastAsia" w:ascii="仿宋_GB2312" w:hAnsi="仿宋_GB2312" w:eastAsia="仿宋_GB2312" w:cs="仿宋_GB2312"/>
          <w:color w:val="auto"/>
          <w:spacing w:val="-6"/>
          <w:kern w:val="0"/>
          <w:sz w:val="32"/>
          <w:szCs w:val="32"/>
          <w:lang w:val="en-US" w:eastAsia="zh-CN"/>
        </w:rPr>
        <w:t>。</w:t>
      </w:r>
    </w:p>
    <w:p>
      <w:pPr>
        <w:numPr>
          <w:ilvl w:val="-1"/>
          <w:numId w:val="0"/>
        </w:numPr>
        <w:spacing w:line="574" w:lineRule="exact"/>
        <w:ind w:firstLine="616" w:firstLineChars="200"/>
        <w:outlineLvl w:val="9"/>
        <w:rPr>
          <w:rFonts w:hint="eastAsia" w:ascii="楷体_GB2312" w:hAnsi="楷体_GB2312" w:eastAsia="楷体_GB2312" w:cs="楷体_GB2312"/>
          <w:color w:val="auto"/>
          <w:spacing w:val="-6"/>
          <w:kern w:val="0"/>
          <w:sz w:val="32"/>
          <w:szCs w:val="32"/>
        </w:rPr>
      </w:pPr>
    </w:p>
    <w:p>
      <w:pPr>
        <w:numPr>
          <w:ilvl w:val="0"/>
          <w:numId w:val="0"/>
        </w:numPr>
        <w:spacing w:line="240" w:lineRule="auto"/>
        <w:ind w:firstLine="0" w:firstLineChars="0"/>
        <w:jc w:val="center"/>
        <w:rPr>
          <w:rFonts w:hint="eastAsia" w:ascii="楷体_GB2312" w:hAnsi="楷体_GB2312" w:eastAsia="楷体_GB2312" w:cs="楷体_GB2312"/>
          <w:color w:val="auto"/>
          <w:spacing w:val="-6"/>
          <w:kern w:val="0"/>
          <w:sz w:val="32"/>
          <w:szCs w:val="32"/>
        </w:rPr>
      </w:pPr>
      <w:r>
        <w:rPr>
          <w:rFonts w:hint="eastAsia" w:ascii="楷体_GB2312" w:hAnsi="楷体_GB2312" w:eastAsia="楷体_GB2312" w:cs="楷体_GB2312"/>
          <w:color w:val="auto"/>
          <w:spacing w:val="-6"/>
          <w:kern w:val="0"/>
          <w:sz w:val="32"/>
          <w:szCs w:val="32"/>
          <w:lang w:eastAsia="zh-CN"/>
        </w:rPr>
        <w:drawing>
          <wp:inline distT="0" distB="0" distL="114300" distR="114300">
            <wp:extent cx="4038600" cy="3257550"/>
            <wp:effectExtent l="0" t="0" r="0" b="3810"/>
            <wp:docPr id="1" name="图片 1" descr="94e3eb7512991661160c7bf892ff7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e3eb7512991661160c7bf892ff70f"/>
                    <pic:cNvPicPr>
                      <a:picLocks noChangeAspect="1"/>
                    </pic:cNvPicPr>
                  </pic:nvPicPr>
                  <pic:blipFill>
                    <a:blip r:embed="rId5"/>
                    <a:stretch>
                      <a:fillRect/>
                    </a:stretch>
                  </pic:blipFill>
                  <pic:spPr>
                    <a:xfrm>
                      <a:off x="0" y="0"/>
                      <a:ext cx="4038600" cy="3257550"/>
                    </a:xfrm>
                    <a:prstGeom prst="rect">
                      <a:avLst/>
                    </a:prstGeom>
                  </pic:spPr>
                </pic:pic>
              </a:graphicData>
            </a:graphic>
          </wp:inline>
        </w:drawing>
      </w:r>
    </w:p>
    <w:p>
      <w:pPr>
        <w:numPr>
          <w:ilvl w:val="0"/>
          <w:numId w:val="0"/>
        </w:numPr>
        <w:spacing w:line="574" w:lineRule="exact"/>
        <w:ind w:firstLine="0" w:firstLineChars="0"/>
        <w:jc w:val="center"/>
        <w:rPr>
          <w:rFonts w:hint="eastAsia" w:ascii="楷体_GB2312" w:hAnsi="楷体_GB2312" w:eastAsia="楷体_GB2312" w:cs="楷体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lang w:eastAsia="zh-CN"/>
        </w:rPr>
        <w:t>用地示意图</w:t>
      </w:r>
    </w:p>
    <w:p>
      <w:pPr>
        <w:numPr>
          <w:ilvl w:val="0"/>
          <w:numId w:val="0"/>
        </w:numPr>
        <w:spacing w:line="574" w:lineRule="exact"/>
        <w:ind w:firstLine="616" w:firstLineChars="200"/>
        <w:rPr>
          <w:rFonts w:hint="eastAsia" w:ascii="仿宋_GB2312" w:hAnsi="仿宋_GB2312" w:eastAsia="仿宋_GB2312" w:cs="仿宋_GB2312"/>
          <w:color w:val="auto"/>
          <w:spacing w:val="-6"/>
          <w:kern w:val="0"/>
          <w:sz w:val="32"/>
          <w:szCs w:val="32"/>
          <w:lang w:eastAsia="zh-CN"/>
        </w:rPr>
      </w:pPr>
      <w:r>
        <w:rPr>
          <w:rFonts w:hint="eastAsia" w:ascii="楷体_GB2312" w:hAnsi="楷体_GB2312" w:eastAsia="楷体_GB2312" w:cs="楷体_GB2312"/>
          <w:color w:val="auto"/>
          <w:spacing w:val="-6"/>
          <w:kern w:val="0"/>
          <w:sz w:val="32"/>
          <w:szCs w:val="32"/>
        </w:rPr>
        <w:t>（二）</w:t>
      </w:r>
      <w:r>
        <w:rPr>
          <w:rFonts w:hint="eastAsia" w:ascii="楷体_GB2312" w:hAnsi="楷体_GB2312" w:eastAsia="楷体_GB2312" w:cs="楷体_GB2312"/>
          <w:color w:val="auto"/>
          <w:spacing w:val="-6"/>
          <w:kern w:val="0"/>
          <w:sz w:val="32"/>
          <w:szCs w:val="32"/>
          <w:lang w:eastAsia="zh-CN"/>
        </w:rPr>
        <w:t>标图入库情况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改造地块内2009年12月31日前为空地，无上盖物，不符合“三旧”改造标图建库要求</w:t>
      </w:r>
      <w:r>
        <w:rPr>
          <w:rFonts w:hint="eastAsia" w:ascii="仿宋_GB2312" w:hAnsi="仿宋_GB2312" w:eastAsia="仿宋_GB2312" w:cs="仿宋_GB2312"/>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lang w:eastAsia="zh-CN"/>
        </w:rPr>
      </w:pPr>
      <w:r>
        <w:rPr>
          <w:rFonts w:hint="eastAsia" w:ascii="楷体" w:hAnsi="楷体" w:eastAsia="楷体" w:cs="楷体"/>
          <w:color w:val="auto"/>
          <w:spacing w:val="-6"/>
          <w:sz w:val="32"/>
          <w:szCs w:val="32"/>
        </w:rPr>
        <w:t>（</w:t>
      </w:r>
      <w:r>
        <w:rPr>
          <w:rFonts w:hint="eastAsia" w:ascii="楷体" w:hAnsi="楷体" w:eastAsia="楷体" w:cs="楷体"/>
          <w:color w:val="auto"/>
          <w:spacing w:val="-6"/>
          <w:sz w:val="32"/>
          <w:szCs w:val="32"/>
          <w:lang w:val="en-US" w:eastAsia="zh-CN"/>
        </w:rPr>
        <w:t>三</w:t>
      </w:r>
      <w:r>
        <w:rPr>
          <w:rFonts w:hint="eastAsia" w:ascii="楷体" w:hAnsi="楷体" w:eastAsia="楷体" w:cs="楷体"/>
          <w:color w:val="auto"/>
          <w:spacing w:val="-6"/>
          <w:sz w:val="32"/>
          <w:szCs w:val="32"/>
        </w:rPr>
        <w:t>）权属情况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rPr>
        <w:t>改造</w:t>
      </w:r>
      <w:r>
        <w:rPr>
          <w:rFonts w:hint="eastAsia" w:ascii="仿宋_GB2312" w:hAnsi="仿宋_GB2312" w:eastAsia="仿宋_GB2312" w:cs="仿宋_GB2312"/>
          <w:color w:val="auto"/>
          <w:spacing w:val="-6"/>
          <w:kern w:val="0"/>
          <w:sz w:val="32"/>
          <w:szCs w:val="32"/>
          <w:lang w:eastAsia="zh-CN"/>
        </w:rPr>
        <w:t>范围涉及</w:t>
      </w:r>
      <w:r>
        <w:rPr>
          <w:rFonts w:hint="eastAsia" w:ascii="仿宋_GB2312" w:hAnsi="仿宋_GB2312" w:eastAsia="仿宋_GB2312" w:cs="仿宋_GB2312"/>
          <w:color w:val="auto"/>
          <w:spacing w:val="-6"/>
          <w:kern w:val="0"/>
          <w:sz w:val="32"/>
          <w:szCs w:val="32"/>
          <w:lang w:val="en-US" w:eastAsia="zh-CN"/>
        </w:rPr>
        <w:t>1宗国有建设用地和1宗集体建设用地</w:t>
      </w:r>
      <w:r>
        <w:rPr>
          <w:rFonts w:hint="eastAsia" w:ascii="仿宋_GB2312" w:hAnsi="仿宋_GB2312" w:eastAsia="仿宋_GB2312" w:cs="仿宋_GB2312"/>
          <w:color w:val="auto"/>
          <w:spacing w:val="-6"/>
          <w:kern w:val="0"/>
          <w:sz w:val="32"/>
          <w:szCs w:val="32"/>
          <w:lang w:eastAsia="zh-CN"/>
        </w:rPr>
        <w:t>。地块一1.3666公顷（13665.60平方米，折合约20.50亩），属</w:t>
      </w:r>
      <w:r>
        <w:rPr>
          <w:rFonts w:hint="eastAsia" w:ascii="仿宋_GB2312" w:hAnsi="仿宋_GB2312" w:eastAsia="仿宋_GB2312" w:cs="仿宋_GB2312"/>
          <w:color w:val="auto"/>
          <w:spacing w:val="-6"/>
          <w:kern w:val="0"/>
          <w:sz w:val="32"/>
          <w:szCs w:val="32"/>
          <w:lang w:val="en-US" w:eastAsia="zh-CN"/>
        </w:rPr>
        <w:t>国有建设用地，</w:t>
      </w:r>
      <w:r>
        <w:rPr>
          <w:rFonts w:hint="eastAsia" w:ascii="仿宋_GB2312" w:hAnsi="仿宋_GB2312" w:eastAsia="仿宋_GB2312" w:cs="仿宋_GB2312"/>
          <w:color w:val="auto"/>
          <w:spacing w:val="-6"/>
          <w:kern w:val="0"/>
          <w:sz w:val="32"/>
          <w:szCs w:val="32"/>
          <w:highlight w:val="none"/>
        </w:rPr>
        <w:t>土</w:t>
      </w:r>
      <w:r>
        <w:rPr>
          <w:rFonts w:hint="eastAsia" w:ascii="仿宋_GB2312" w:hAnsi="仿宋_GB2312" w:eastAsia="仿宋_GB2312" w:cs="仿宋_GB2312"/>
          <w:color w:val="auto"/>
          <w:spacing w:val="-6"/>
          <w:kern w:val="0"/>
          <w:sz w:val="32"/>
          <w:szCs w:val="32"/>
        </w:rPr>
        <w:t>地用途为工业，已经确权、登记，土地证号为中府国用(20</w:t>
      </w:r>
      <w:r>
        <w:rPr>
          <w:rFonts w:hint="eastAsia" w:ascii="仿宋_GB2312" w:hAnsi="仿宋_GB2312" w:eastAsia="仿宋_GB2312" w:cs="仿宋_GB2312"/>
          <w:color w:val="auto"/>
          <w:spacing w:val="-6"/>
          <w:kern w:val="0"/>
          <w:sz w:val="32"/>
          <w:szCs w:val="32"/>
          <w:lang w:val="en-US" w:eastAsia="zh-CN"/>
        </w:rPr>
        <w:t>08</w:t>
      </w:r>
      <w:r>
        <w:rPr>
          <w:rFonts w:hint="eastAsia" w:ascii="仿宋_GB2312" w:hAnsi="仿宋_GB2312" w:eastAsia="仿宋_GB2312" w:cs="仿宋_GB2312"/>
          <w:color w:val="auto"/>
          <w:spacing w:val="-6"/>
          <w:kern w:val="0"/>
          <w:sz w:val="32"/>
          <w:szCs w:val="32"/>
        </w:rPr>
        <w:t>)第300</w:t>
      </w:r>
      <w:r>
        <w:rPr>
          <w:rFonts w:hint="eastAsia" w:ascii="仿宋_GB2312" w:hAnsi="仿宋_GB2312" w:eastAsia="仿宋_GB2312" w:cs="仿宋_GB2312"/>
          <w:color w:val="auto"/>
          <w:spacing w:val="-6"/>
          <w:kern w:val="0"/>
          <w:sz w:val="32"/>
          <w:szCs w:val="32"/>
          <w:lang w:val="en-US" w:eastAsia="zh-CN"/>
        </w:rPr>
        <w:t>183</w:t>
      </w:r>
      <w:r>
        <w:rPr>
          <w:rFonts w:hint="eastAsia" w:ascii="仿宋_GB2312" w:hAnsi="仿宋_GB2312" w:eastAsia="仿宋_GB2312" w:cs="仿宋_GB2312"/>
          <w:color w:val="auto"/>
          <w:spacing w:val="-6"/>
          <w:kern w:val="0"/>
          <w:sz w:val="32"/>
          <w:szCs w:val="32"/>
        </w:rPr>
        <w:t>号</w:t>
      </w:r>
      <w:r>
        <w:rPr>
          <w:rFonts w:hint="eastAsia" w:ascii="仿宋_GB2312" w:hAnsi="仿宋_GB2312" w:eastAsia="仿宋_GB2312" w:cs="仿宋_GB2312"/>
          <w:color w:val="auto"/>
          <w:spacing w:val="-6"/>
          <w:kern w:val="0"/>
          <w:sz w:val="32"/>
          <w:szCs w:val="32"/>
          <w:lang w:eastAsia="zh-CN"/>
        </w:rPr>
        <w:t>；地块二0.3087公顷（3087.10平方米，折合4.63亩）属集体建设用地，土地用途为工业，已经确权、登记，</w:t>
      </w:r>
      <w:r>
        <w:rPr>
          <w:rFonts w:hint="default" w:ascii="仿宋_GB2312" w:hAnsi="仿宋_GB2312" w:eastAsia="仿宋_GB2312" w:cs="仿宋_GB2312"/>
          <w:color w:val="auto"/>
          <w:spacing w:val="-6"/>
          <w:kern w:val="0"/>
          <w:sz w:val="32"/>
          <w:szCs w:val="32"/>
          <w:lang w:val="en-US" w:eastAsia="zh-CN"/>
        </w:rPr>
        <w:t>土地</w:t>
      </w:r>
      <w:r>
        <w:rPr>
          <w:rFonts w:hint="eastAsia" w:ascii="仿宋_GB2312" w:hAnsi="仿宋_GB2312" w:eastAsia="仿宋_GB2312" w:cs="仿宋_GB2312"/>
          <w:color w:val="auto"/>
          <w:spacing w:val="-6"/>
          <w:kern w:val="0"/>
          <w:sz w:val="32"/>
          <w:szCs w:val="32"/>
          <w:lang w:eastAsia="zh-CN"/>
        </w:rPr>
        <w:t>证号为</w:t>
      </w:r>
      <w:r>
        <w:rPr>
          <w:rFonts w:hint="eastAsia" w:ascii="仿宋_GB2312" w:hAnsi="仿宋_GB2312" w:eastAsia="仿宋_GB2312" w:cs="仿宋_GB2312"/>
          <w:strike w:val="0"/>
          <w:color w:val="auto"/>
          <w:spacing w:val="-6"/>
          <w:kern w:val="0"/>
          <w:sz w:val="32"/>
          <w:szCs w:val="32"/>
          <w:highlight w:val="none"/>
          <w:lang w:eastAsia="zh-CN"/>
        </w:rPr>
        <w:t>中府集用（</w:t>
      </w:r>
      <w:r>
        <w:rPr>
          <w:rFonts w:hint="eastAsia" w:ascii="仿宋_GB2312" w:hAnsi="仿宋_GB2312" w:eastAsia="仿宋_GB2312" w:cs="仿宋_GB2312"/>
          <w:strike w:val="0"/>
          <w:color w:val="auto"/>
          <w:spacing w:val="-6"/>
          <w:kern w:val="0"/>
          <w:sz w:val="32"/>
          <w:szCs w:val="32"/>
          <w:highlight w:val="none"/>
          <w:lang w:val="en-US" w:eastAsia="zh-CN"/>
        </w:rPr>
        <w:t>2007</w:t>
      </w:r>
      <w:r>
        <w:rPr>
          <w:rFonts w:hint="eastAsia" w:ascii="仿宋_GB2312" w:hAnsi="仿宋_GB2312" w:eastAsia="仿宋_GB2312" w:cs="仿宋_GB2312"/>
          <w:strike w:val="0"/>
          <w:color w:val="auto"/>
          <w:spacing w:val="-6"/>
          <w:kern w:val="0"/>
          <w:sz w:val="32"/>
          <w:szCs w:val="32"/>
          <w:highlight w:val="none"/>
          <w:lang w:eastAsia="zh-CN"/>
        </w:rPr>
        <w:t>）第</w:t>
      </w:r>
      <w:r>
        <w:rPr>
          <w:rFonts w:hint="eastAsia" w:ascii="仿宋_GB2312" w:hAnsi="仿宋_GB2312" w:eastAsia="仿宋_GB2312" w:cs="仿宋_GB2312"/>
          <w:strike w:val="0"/>
          <w:color w:val="auto"/>
          <w:spacing w:val="-6"/>
          <w:kern w:val="0"/>
          <w:sz w:val="32"/>
          <w:szCs w:val="32"/>
          <w:highlight w:val="none"/>
          <w:lang w:val="en-US" w:eastAsia="zh-CN"/>
        </w:rPr>
        <w:t>300677号</w:t>
      </w:r>
      <w:r>
        <w:rPr>
          <w:rFonts w:hint="eastAsia" w:ascii="仿宋_GB2312" w:hAnsi="仿宋_GB2312" w:eastAsia="仿宋_GB2312" w:cs="仿宋_GB2312"/>
          <w:strike w:val="0"/>
          <w:color w:val="auto"/>
          <w:spacing w:val="-6"/>
          <w:kern w:val="0"/>
          <w:sz w:val="32"/>
          <w:szCs w:val="32"/>
          <w:lang w:val="en-US" w:eastAsia="zh-CN"/>
        </w:rPr>
        <w:t>，</w:t>
      </w:r>
      <w:r>
        <w:rPr>
          <w:rFonts w:hint="eastAsia" w:ascii="仿宋_GB2312" w:hAnsi="仿宋_GB2312" w:eastAsia="仿宋_GB2312" w:cs="仿宋_GB2312"/>
          <w:color w:val="auto"/>
          <w:spacing w:val="-6"/>
          <w:kern w:val="0"/>
          <w:sz w:val="32"/>
          <w:szCs w:val="32"/>
          <w:lang w:val="en-US" w:eastAsia="zh-CN"/>
        </w:rPr>
        <w:t>上述用地均</w:t>
      </w:r>
      <w:r>
        <w:rPr>
          <w:rFonts w:hint="eastAsia" w:ascii="仿宋_GB2312" w:hAnsi="仿宋_GB2312" w:eastAsia="仿宋_GB2312" w:cs="仿宋_GB2312"/>
          <w:color w:val="auto"/>
          <w:spacing w:val="-6"/>
          <w:kern w:val="0"/>
          <w:sz w:val="32"/>
          <w:szCs w:val="32"/>
        </w:rPr>
        <w:t>为土地</w:t>
      </w:r>
      <w:r>
        <w:rPr>
          <w:rFonts w:hint="eastAsia" w:ascii="仿宋_GB2312" w:hAnsi="仿宋_GB2312" w:eastAsia="仿宋_GB2312" w:cs="仿宋_GB2312"/>
          <w:color w:val="auto"/>
          <w:spacing w:val="-6"/>
          <w:kern w:val="0"/>
          <w:sz w:val="32"/>
          <w:szCs w:val="32"/>
          <w:lang w:val="en-US" w:eastAsia="zh-CN"/>
        </w:rPr>
        <w:t>产权</w:t>
      </w:r>
      <w:r>
        <w:rPr>
          <w:rFonts w:hint="eastAsia" w:ascii="仿宋_GB2312" w:hAnsi="仿宋_GB2312" w:eastAsia="仿宋_GB2312" w:cs="仿宋_GB2312"/>
          <w:color w:val="auto"/>
          <w:spacing w:val="-6"/>
          <w:kern w:val="0"/>
          <w:sz w:val="32"/>
          <w:szCs w:val="32"/>
        </w:rPr>
        <w:t>人</w:t>
      </w:r>
      <w:r>
        <w:rPr>
          <w:rFonts w:hint="eastAsia" w:ascii="仿宋_GB2312" w:hAnsi="仿宋_GB2312" w:eastAsia="仿宋_GB2312" w:cs="仿宋_GB2312"/>
          <w:color w:val="auto"/>
          <w:spacing w:val="-6"/>
          <w:kern w:val="0"/>
          <w:sz w:val="32"/>
          <w:szCs w:val="32"/>
          <w:lang w:eastAsia="zh-CN"/>
        </w:rPr>
        <w:t>里溪二队</w:t>
      </w:r>
      <w:r>
        <w:rPr>
          <w:rFonts w:hint="eastAsia" w:ascii="仿宋_GB2312" w:hAnsi="仿宋_GB2312" w:eastAsia="仿宋_GB2312" w:cs="仿宋_GB2312"/>
          <w:color w:val="auto"/>
          <w:spacing w:val="-6"/>
          <w:kern w:val="0"/>
          <w:sz w:val="32"/>
          <w:szCs w:val="32"/>
        </w:rPr>
        <w:t>自</w:t>
      </w:r>
      <w:r>
        <w:rPr>
          <w:rFonts w:hint="eastAsia" w:ascii="仿宋_GB2312" w:hAnsi="仿宋_GB2312" w:eastAsia="仿宋_GB2312" w:cs="仿宋_GB2312"/>
          <w:color w:val="auto"/>
          <w:spacing w:val="-6"/>
          <w:kern w:val="0"/>
          <w:sz w:val="32"/>
          <w:szCs w:val="32"/>
          <w:lang w:val="en-US" w:eastAsia="zh-CN"/>
        </w:rPr>
        <w:t>2010</w:t>
      </w:r>
      <w:r>
        <w:rPr>
          <w:rFonts w:hint="eastAsia" w:ascii="仿宋_GB2312" w:hAnsi="仿宋_GB2312" w:eastAsia="仿宋_GB2312" w:cs="仿宋_GB2312"/>
          <w:color w:val="auto"/>
          <w:spacing w:val="-6"/>
          <w:kern w:val="0"/>
          <w:sz w:val="32"/>
          <w:szCs w:val="32"/>
        </w:rPr>
        <w:t>年</w:t>
      </w:r>
      <w:r>
        <w:rPr>
          <w:rFonts w:hint="eastAsia" w:ascii="仿宋_GB2312" w:hAnsi="仿宋_GB2312" w:eastAsia="仿宋_GB2312" w:cs="仿宋_GB2312"/>
          <w:color w:val="auto"/>
          <w:spacing w:val="-6"/>
          <w:kern w:val="0"/>
          <w:sz w:val="32"/>
          <w:szCs w:val="32"/>
          <w:lang w:val="en-US" w:eastAsia="zh-CN"/>
        </w:rPr>
        <w:t>10</w:t>
      </w:r>
      <w:r>
        <w:rPr>
          <w:rFonts w:hint="eastAsia" w:ascii="仿宋_GB2312" w:hAnsi="仿宋_GB2312" w:eastAsia="仿宋_GB2312" w:cs="仿宋_GB2312"/>
          <w:color w:val="auto"/>
          <w:spacing w:val="-6"/>
          <w:kern w:val="0"/>
          <w:sz w:val="32"/>
          <w:szCs w:val="32"/>
        </w:rPr>
        <w:t>月开始使用。</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lang w:eastAsia="zh-CN"/>
        </w:rPr>
      </w:pPr>
      <w:r>
        <w:rPr>
          <w:rFonts w:hint="eastAsia" w:ascii="楷体" w:hAnsi="楷体" w:eastAsia="楷体" w:cs="楷体"/>
          <w:color w:val="auto"/>
          <w:spacing w:val="-6"/>
          <w:sz w:val="32"/>
          <w:szCs w:val="32"/>
        </w:rPr>
        <w:t>（</w:t>
      </w:r>
      <w:r>
        <w:rPr>
          <w:rFonts w:hint="eastAsia" w:ascii="楷体" w:hAnsi="楷体" w:eastAsia="楷体" w:cs="楷体"/>
          <w:color w:val="auto"/>
          <w:spacing w:val="-6"/>
          <w:sz w:val="32"/>
          <w:szCs w:val="32"/>
          <w:lang w:val="en-US" w:eastAsia="zh-CN"/>
        </w:rPr>
        <w:t>三</w:t>
      </w:r>
      <w:r>
        <w:rPr>
          <w:rFonts w:hint="eastAsia" w:ascii="楷体" w:hAnsi="楷体" w:eastAsia="楷体" w:cs="楷体"/>
          <w:color w:val="auto"/>
          <w:spacing w:val="-6"/>
          <w:sz w:val="32"/>
          <w:szCs w:val="32"/>
        </w:rPr>
        <w:t>）土地利用现状情况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lang w:val="en-US" w:eastAsia="zh-CN"/>
        </w:rPr>
        <w:t>项目用地第二次全国土地调查以及最新土地地类调查均为建设用地，</w:t>
      </w:r>
      <w:r>
        <w:rPr>
          <w:rFonts w:hint="eastAsia" w:ascii="仿宋_GB2312" w:hAnsi="仿宋_GB2312" w:eastAsia="仿宋_GB2312" w:cs="仿宋_GB2312"/>
          <w:color w:val="auto"/>
          <w:spacing w:val="-6"/>
          <w:kern w:val="0"/>
          <w:sz w:val="32"/>
          <w:szCs w:val="32"/>
        </w:rPr>
        <w:t>改造</w:t>
      </w:r>
      <w:r>
        <w:rPr>
          <w:rFonts w:hint="eastAsia" w:ascii="仿宋_GB2312" w:hAnsi="仿宋_GB2312" w:eastAsia="仿宋_GB2312" w:cs="仿宋_GB2312"/>
          <w:color w:val="auto"/>
          <w:spacing w:val="-6"/>
          <w:kern w:val="0"/>
          <w:sz w:val="32"/>
          <w:szCs w:val="32"/>
          <w:lang w:eastAsia="zh-CN"/>
        </w:rPr>
        <w:t>范围内</w:t>
      </w:r>
      <w:r>
        <w:rPr>
          <w:rFonts w:hint="eastAsia" w:ascii="仿宋_GB2312" w:hAnsi="仿宋_GB2312" w:eastAsia="仿宋_GB2312" w:cs="仿宋_GB2312"/>
          <w:color w:val="auto"/>
          <w:spacing w:val="-6"/>
          <w:kern w:val="0"/>
          <w:sz w:val="32"/>
          <w:szCs w:val="32"/>
        </w:rPr>
        <w:t>现有</w:t>
      </w:r>
      <w:r>
        <w:rPr>
          <w:rFonts w:hint="eastAsia" w:ascii="仿宋_GB2312" w:hAnsi="仿宋_GB2312" w:eastAsia="仿宋_GB2312" w:cs="仿宋_GB2312"/>
          <w:color w:val="auto"/>
          <w:spacing w:val="-6"/>
          <w:kern w:val="0"/>
          <w:sz w:val="32"/>
          <w:szCs w:val="32"/>
          <w:lang w:val="en-US" w:eastAsia="zh-CN"/>
        </w:rPr>
        <w:t>6</w:t>
      </w:r>
      <w:r>
        <w:rPr>
          <w:rFonts w:hint="eastAsia" w:ascii="仿宋_GB2312" w:hAnsi="仿宋_GB2312" w:eastAsia="仿宋_GB2312" w:cs="仿宋_GB2312"/>
          <w:color w:val="auto"/>
          <w:spacing w:val="-6"/>
          <w:kern w:val="0"/>
          <w:sz w:val="32"/>
          <w:szCs w:val="32"/>
        </w:rPr>
        <w:t>栋建筑物，为</w:t>
      </w:r>
      <w:r>
        <w:rPr>
          <w:rFonts w:hint="eastAsia" w:ascii="仿宋_GB2312" w:hAnsi="仿宋_GB2312" w:eastAsia="仿宋_GB2312" w:cs="仿宋_GB2312"/>
          <w:color w:val="auto"/>
          <w:spacing w:val="-6"/>
          <w:kern w:val="0"/>
          <w:sz w:val="32"/>
          <w:szCs w:val="32"/>
          <w:lang w:eastAsia="zh-CN"/>
        </w:rPr>
        <w:t>里溪二队</w:t>
      </w:r>
      <w:r>
        <w:rPr>
          <w:rFonts w:hint="eastAsia" w:ascii="仿宋_GB2312" w:hAnsi="仿宋_GB2312" w:eastAsia="仿宋_GB2312" w:cs="仿宋_GB2312"/>
          <w:color w:val="auto"/>
          <w:spacing w:val="-6"/>
          <w:kern w:val="0"/>
          <w:sz w:val="32"/>
          <w:szCs w:val="32"/>
        </w:rPr>
        <w:t>自</w:t>
      </w:r>
      <w:r>
        <w:rPr>
          <w:rFonts w:hint="eastAsia" w:ascii="仿宋_GB2312" w:hAnsi="仿宋_GB2312" w:eastAsia="仿宋_GB2312" w:cs="仿宋_GB2312"/>
          <w:color w:val="auto"/>
          <w:spacing w:val="-6"/>
          <w:kern w:val="0"/>
          <w:sz w:val="32"/>
          <w:szCs w:val="32"/>
          <w:lang w:val="en-US" w:eastAsia="zh-CN"/>
        </w:rPr>
        <w:t>2010</w:t>
      </w:r>
      <w:r>
        <w:rPr>
          <w:rFonts w:hint="eastAsia" w:ascii="仿宋_GB2312" w:hAnsi="仿宋_GB2312" w:eastAsia="仿宋_GB2312" w:cs="仿宋_GB2312"/>
          <w:color w:val="auto"/>
          <w:spacing w:val="-6"/>
          <w:kern w:val="0"/>
          <w:sz w:val="32"/>
          <w:szCs w:val="32"/>
        </w:rPr>
        <w:t>年</w:t>
      </w:r>
      <w:r>
        <w:rPr>
          <w:rFonts w:hint="eastAsia" w:ascii="仿宋_GB2312" w:hAnsi="仿宋_GB2312" w:eastAsia="仿宋_GB2312" w:cs="仿宋_GB2312"/>
          <w:color w:val="auto"/>
          <w:spacing w:val="-6"/>
          <w:kern w:val="0"/>
          <w:sz w:val="32"/>
          <w:szCs w:val="32"/>
          <w:lang w:val="en-US" w:eastAsia="zh-CN"/>
        </w:rPr>
        <w:t>10</w:t>
      </w:r>
      <w:r>
        <w:rPr>
          <w:rFonts w:hint="eastAsia" w:ascii="仿宋_GB2312" w:hAnsi="仿宋_GB2312" w:eastAsia="仿宋_GB2312" w:cs="仿宋_GB2312"/>
          <w:color w:val="auto"/>
          <w:spacing w:val="-6"/>
          <w:kern w:val="0"/>
          <w:sz w:val="32"/>
          <w:szCs w:val="32"/>
        </w:rPr>
        <w:t>月开始使用。</w:t>
      </w:r>
      <w:r>
        <w:rPr>
          <w:rFonts w:hint="eastAsia" w:ascii="仿宋_GB2312" w:hAnsi="仿宋_GB2312" w:eastAsia="仿宋_GB2312" w:cs="仿宋_GB2312"/>
          <w:color w:val="auto"/>
          <w:spacing w:val="-6"/>
          <w:kern w:val="0"/>
          <w:sz w:val="32"/>
          <w:szCs w:val="32"/>
          <w:lang w:eastAsia="zh-CN"/>
        </w:rPr>
        <w:t>未办理</w:t>
      </w:r>
      <w:r>
        <w:rPr>
          <w:rFonts w:hint="eastAsia" w:ascii="仿宋_GB2312" w:hAnsi="仿宋_GB2312" w:eastAsia="仿宋_GB2312" w:cs="仿宋_GB2312"/>
          <w:color w:val="auto"/>
          <w:spacing w:val="-6"/>
          <w:kern w:val="0"/>
          <w:sz w:val="32"/>
          <w:szCs w:val="32"/>
        </w:rPr>
        <w:t>规划报建手续，现有建筑面积</w:t>
      </w:r>
      <w:r>
        <w:rPr>
          <w:rFonts w:hint="eastAsia" w:ascii="仿宋_GB2312" w:hAnsi="仿宋_GB2312" w:eastAsia="仿宋_GB2312" w:cs="仿宋_GB2312"/>
          <w:color w:val="auto"/>
          <w:spacing w:val="-6"/>
          <w:kern w:val="0"/>
          <w:sz w:val="32"/>
          <w:szCs w:val="32"/>
          <w:lang w:val="en-US" w:eastAsia="zh-CN"/>
        </w:rPr>
        <w:t>12314.59</w:t>
      </w:r>
      <w:r>
        <w:rPr>
          <w:rFonts w:hint="eastAsia" w:ascii="仿宋_GB2312" w:hAnsi="仿宋_GB2312" w:eastAsia="仿宋_GB2312" w:cs="仿宋_GB2312"/>
          <w:color w:val="auto"/>
          <w:spacing w:val="-6"/>
          <w:kern w:val="0"/>
          <w:sz w:val="32"/>
          <w:szCs w:val="32"/>
        </w:rPr>
        <w:t>平方米，现状容积率</w:t>
      </w:r>
      <w:r>
        <w:rPr>
          <w:rFonts w:hint="eastAsia" w:ascii="仿宋_GB2312" w:hAnsi="仿宋_GB2312" w:eastAsia="仿宋_GB2312" w:cs="仿宋_GB2312"/>
          <w:color w:val="auto"/>
          <w:spacing w:val="-6"/>
          <w:kern w:val="0"/>
          <w:sz w:val="32"/>
          <w:szCs w:val="32"/>
          <w:lang w:val="en-US" w:eastAsia="zh-CN"/>
        </w:rPr>
        <w:t>0.</w:t>
      </w:r>
      <w:r>
        <w:rPr>
          <w:rFonts w:hint="eastAsia" w:ascii="仿宋_GB2312" w:hAnsi="仿宋_GB2312" w:eastAsia="仿宋_GB2312" w:cs="仿宋_GB2312"/>
          <w:color w:val="auto"/>
          <w:spacing w:val="-6"/>
          <w:kern w:val="0"/>
          <w:sz w:val="32"/>
          <w:szCs w:val="32"/>
          <w:highlight w:val="none"/>
          <w:lang w:val="en-US" w:eastAsia="zh-CN"/>
        </w:rPr>
        <w:t>66</w:t>
      </w:r>
      <w:r>
        <w:rPr>
          <w:rFonts w:hint="eastAsia" w:ascii="仿宋_GB2312" w:hAnsi="仿宋_GB2312" w:eastAsia="仿宋_GB2312" w:cs="仿宋_GB2312"/>
          <w:color w:val="auto"/>
          <w:spacing w:val="-6"/>
          <w:kern w:val="0"/>
          <w:sz w:val="32"/>
          <w:szCs w:val="32"/>
        </w:rPr>
        <w:t>，作工业厂房所用。该地块目前已拆除建筑面积</w:t>
      </w:r>
      <w:r>
        <w:rPr>
          <w:rFonts w:hint="eastAsia" w:ascii="仿宋_GB2312" w:hAnsi="仿宋_GB2312" w:eastAsia="仿宋_GB2312" w:cs="仿宋_GB2312"/>
          <w:color w:val="auto"/>
          <w:spacing w:val="-6"/>
          <w:kern w:val="0"/>
          <w:sz w:val="32"/>
          <w:szCs w:val="32"/>
          <w:lang w:val="en-US" w:eastAsia="zh-CN"/>
        </w:rPr>
        <w:t>12314.59</w:t>
      </w:r>
      <w:r>
        <w:rPr>
          <w:rFonts w:hint="eastAsia" w:ascii="仿宋_GB2312" w:hAnsi="仿宋_GB2312" w:eastAsia="仿宋_GB2312" w:cs="仿宋_GB2312"/>
          <w:color w:val="auto"/>
          <w:spacing w:val="-6"/>
          <w:kern w:val="0"/>
          <w:sz w:val="32"/>
          <w:szCs w:val="32"/>
        </w:rPr>
        <w:t>平方米，</w:t>
      </w:r>
      <w:r>
        <w:rPr>
          <w:rFonts w:hint="eastAsia" w:ascii="仿宋_GB2312" w:hAnsi="仿宋_GB2312" w:eastAsia="仿宋_GB2312" w:cs="仿宋_GB2312"/>
          <w:color w:val="auto"/>
          <w:spacing w:val="-6"/>
          <w:kern w:val="0"/>
          <w:sz w:val="32"/>
          <w:szCs w:val="32"/>
          <w:lang w:val="en-US" w:eastAsia="zh-CN"/>
        </w:rPr>
        <w:t>土地利用现状为空地，</w:t>
      </w:r>
      <w:r>
        <w:rPr>
          <w:rFonts w:hint="eastAsia" w:ascii="仿宋_GB2312" w:hAnsi="仿宋_GB2312" w:eastAsia="仿宋_GB2312" w:cs="仿宋_GB2312"/>
          <w:color w:val="auto"/>
          <w:spacing w:val="-6"/>
          <w:kern w:val="0"/>
          <w:sz w:val="32"/>
          <w:szCs w:val="32"/>
        </w:rPr>
        <w:t>改造前年产值为</w:t>
      </w:r>
      <w:r>
        <w:rPr>
          <w:rFonts w:hint="eastAsia" w:ascii="仿宋_GB2312" w:hAnsi="仿宋_GB2312" w:eastAsia="仿宋_GB2312" w:cs="仿宋_GB2312"/>
          <w:color w:val="auto"/>
          <w:spacing w:val="-6"/>
          <w:kern w:val="0"/>
          <w:sz w:val="32"/>
          <w:szCs w:val="32"/>
          <w:lang w:val="en-US" w:eastAsia="zh-CN"/>
        </w:rPr>
        <w:t>7100</w:t>
      </w:r>
      <w:r>
        <w:rPr>
          <w:rFonts w:hint="eastAsia" w:ascii="仿宋_GB2312" w:hAnsi="仿宋_GB2312" w:eastAsia="仿宋_GB2312" w:cs="仿宋_GB2312"/>
          <w:color w:val="auto"/>
          <w:spacing w:val="-6"/>
          <w:kern w:val="0"/>
          <w:sz w:val="32"/>
          <w:szCs w:val="32"/>
        </w:rPr>
        <w:t>万元</w:t>
      </w:r>
      <w:r>
        <w:rPr>
          <w:rFonts w:hint="eastAsia" w:ascii="仿宋_GB2312" w:hAnsi="仿宋_GB2312" w:eastAsia="仿宋_GB2312" w:cs="仿宋_GB2312"/>
          <w:color w:val="auto"/>
          <w:spacing w:val="-6"/>
          <w:kern w:val="0"/>
          <w:sz w:val="32"/>
          <w:szCs w:val="32"/>
          <w:lang w:eastAsia="zh-CN"/>
        </w:rPr>
        <w:t>（折合</w:t>
      </w:r>
      <w:r>
        <w:rPr>
          <w:rFonts w:hint="eastAsia" w:ascii="仿宋_GB2312" w:hAnsi="仿宋_GB2312" w:eastAsia="仿宋_GB2312" w:cs="仿宋_GB2312"/>
          <w:color w:val="auto"/>
          <w:spacing w:val="-6"/>
          <w:kern w:val="0"/>
          <w:sz w:val="32"/>
          <w:szCs w:val="32"/>
          <w:lang w:val="en-US" w:eastAsia="zh-CN"/>
        </w:rPr>
        <w:t>282.53万元/亩</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rPr>
        <w:t>，年税收为</w:t>
      </w:r>
      <w:r>
        <w:rPr>
          <w:rFonts w:hint="eastAsia" w:ascii="仿宋_GB2312" w:hAnsi="仿宋_GB2312" w:eastAsia="仿宋_GB2312" w:cs="仿宋_GB2312"/>
          <w:color w:val="auto"/>
          <w:spacing w:val="-6"/>
          <w:kern w:val="0"/>
          <w:sz w:val="32"/>
          <w:szCs w:val="32"/>
          <w:lang w:val="en-US" w:eastAsia="zh-CN"/>
        </w:rPr>
        <w:t>190</w:t>
      </w:r>
      <w:r>
        <w:rPr>
          <w:rFonts w:hint="eastAsia" w:ascii="仿宋_GB2312" w:hAnsi="仿宋_GB2312" w:eastAsia="仿宋_GB2312" w:cs="仿宋_GB2312"/>
          <w:color w:val="auto"/>
          <w:spacing w:val="-6"/>
          <w:kern w:val="0"/>
          <w:sz w:val="32"/>
          <w:szCs w:val="32"/>
        </w:rPr>
        <w:t>万元</w:t>
      </w:r>
      <w:r>
        <w:rPr>
          <w:rFonts w:hint="eastAsia" w:ascii="仿宋_GB2312" w:hAnsi="仿宋_GB2312" w:eastAsia="仿宋_GB2312" w:cs="仿宋_GB2312"/>
          <w:color w:val="auto"/>
          <w:spacing w:val="-6"/>
          <w:kern w:val="0"/>
          <w:sz w:val="32"/>
          <w:szCs w:val="32"/>
          <w:lang w:eastAsia="zh-CN"/>
        </w:rPr>
        <w:t>（折合</w:t>
      </w:r>
      <w:r>
        <w:rPr>
          <w:rFonts w:hint="eastAsia" w:ascii="仿宋_GB2312" w:hAnsi="仿宋_GB2312" w:eastAsia="仿宋_GB2312" w:cs="仿宋_GB2312"/>
          <w:color w:val="auto"/>
          <w:spacing w:val="-6"/>
          <w:kern w:val="0"/>
          <w:sz w:val="32"/>
          <w:szCs w:val="32"/>
          <w:lang w:val="en-US" w:eastAsia="zh-CN"/>
        </w:rPr>
        <w:t>7.56万元/亩</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rPr>
        <w:t>。根据《关于印发中山市工业用地综合评价方案的通知》（中山工改办发〔2023〕7号），经研究，认定改造地块属于低效工业用地。</w:t>
      </w:r>
    </w:p>
    <w:p>
      <w:pPr>
        <w:spacing w:before="93" w:beforeLines="30" w:line="580" w:lineRule="exact"/>
        <w:ind w:firstLine="616" w:firstLineChars="200"/>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lang w:eastAsia="zh-CN"/>
        </w:rPr>
        <w:t>地块一、地块二</w:t>
      </w:r>
      <w:r>
        <w:rPr>
          <w:rFonts w:hint="eastAsia" w:ascii="仿宋_GB2312" w:hAnsi="仿宋_GB2312" w:eastAsia="仿宋_GB2312" w:cs="仿宋_GB2312"/>
          <w:color w:val="auto"/>
          <w:spacing w:val="-6"/>
          <w:kern w:val="0"/>
          <w:sz w:val="32"/>
          <w:szCs w:val="32"/>
        </w:rPr>
        <w:t>涉及到闲置</w:t>
      </w:r>
      <w:r>
        <w:rPr>
          <w:rFonts w:hint="eastAsia" w:ascii="仿宋_GB2312" w:hAnsi="仿宋_GB2312" w:eastAsia="仿宋_GB2312" w:cs="仿宋_GB2312"/>
          <w:color w:val="auto"/>
          <w:spacing w:val="-6"/>
          <w:kern w:val="0"/>
          <w:sz w:val="32"/>
          <w:szCs w:val="32"/>
          <w:lang w:eastAsia="zh-CN"/>
        </w:rPr>
        <w:t>，正在办理</w:t>
      </w:r>
      <w:r>
        <w:rPr>
          <w:rFonts w:hint="eastAsia" w:ascii="仿宋_GB2312" w:hAnsi="仿宋_GB2312" w:eastAsia="仿宋_GB2312" w:cs="仿宋_GB2312"/>
          <w:color w:val="auto"/>
          <w:spacing w:val="-6"/>
          <w:kern w:val="0"/>
          <w:sz w:val="32"/>
          <w:szCs w:val="32"/>
          <w:lang w:val="en-US" w:eastAsia="zh-CN"/>
        </w:rPr>
        <w:t>闲置处置</w:t>
      </w:r>
      <w:r>
        <w:rPr>
          <w:rFonts w:hint="eastAsia" w:ascii="仿宋_GB2312" w:hAnsi="仿宋_GB2312" w:eastAsia="仿宋_GB2312" w:cs="仿宋_GB2312"/>
          <w:color w:val="auto"/>
          <w:spacing w:val="-6"/>
          <w:kern w:val="0"/>
          <w:sz w:val="32"/>
          <w:szCs w:val="32"/>
          <w:highlight w:val="none"/>
          <w:lang w:val="en-US" w:eastAsia="zh-CN"/>
        </w:rPr>
        <w:t>。</w:t>
      </w:r>
      <w:r>
        <w:rPr>
          <w:rFonts w:hint="eastAsia" w:ascii="仿宋_GB2312" w:hAnsi="仿宋_GB2312" w:eastAsia="仿宋_GB2312" w:cs="仿宋_GB2312"/>
          <w:color w:val="auto"/>
          <w:spacing w:val="-6"/>
          <w:kern w:val="0"/>
          <w:sz w:val="32"/>
          <w:szCs w:val="32"/>
        </w:rPr>
        <w:t>不涉及</w:t>
      </w:r>
      <w:r>
        <w:rPr>
          <w:rFonts w:hint="eastAsia" w:ascii="仿宋_GB2312" w:hAnsi="仿宋_GB2312" w:eastAsia="仿宋_GB2312" w:cs="仿宋_GB2312"/>
          <w:color w:val="auto"/>
          <w:spacing w:val="-6"/>
          <w:kern w:val="0"/>
          <w:sz w:val="32"/>
          <w:szCs w:val="32"/>
          <w:lang w:val="en-US" w:eastAsia="zh-CN"/>
        </w:rPr>
        <w:t>用地抵押、</w:t>
      </w:r>
      <w:r>
        <w:rPr>
          <w:rFonts w:hint="eastAsia" w:ascii="仿宋_GB2312" w:hAnsi="仿宋_GB2312" w:eastAsia="仿宋_GB2312" w:cs="仿宋_GB2312"/>
          <w:color w:val="auto"/>
          <w:spacing w:val="-6"/>
          <w:kern w:val="0"/>
          <w:sz w:val="32"/>
          <w:szCs w:val="32"/>
          <w:highlight w:val="none"/>
          <w:lang w:val="en-US" w:eastAsia="zh-CN"/>
        </w:rPr>
        <w:t>违法用地处置</w:t>
      </w:r>
      <w:r>
        <w:rPr>
          <w:rFonts w:hint="eastAsia" w:ascii="仿宋_GB2312" w:hAnsi="仿宋_GB2312" w:eastAsia="仿宋_GB2312" w:cs="仿宋_GB2312"/>
          <w:color w:val="auto"/>
          <w:spacing w:val="-6"/>
          <w:kern w:val="0"/>
          <w:sz w:val="32"/>
          <w:szCs w:val="32"/>
          <w:lang w:val="en-US" w:eastAsia="zh-CN"/>
        </w:rPr>
        <w:t>、</w:t>
      </w:r>
      <w:r>
        <w:rPr>
          <w:rFonts w:hint="eastAsia" w:ascii="仿宋_GB2312" w:hAnsi="仿宋_GB2312" w:eastAsia="仿宋_GB2312" w:cs="仿宋_GB2312"/>
          <w:color w:val="auto"/>
          <w:spacing w:val="-6"/>
          <w:kern w:val="0"/>
          <w:sz w:val="32"/>
          <w:szCs w:val="32"/>
        </w:rPr>
        <w:t>历史文化资源要素、土壤环境潜在监管地块等情况。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lang w:eastAsia="zh-CN"/>
        </w:rPr>
      </w:pPr>
      <w:r>
        <w:rPr>
          <w:rFonts w:hint="eastAsia" w:ascii="楷体" w:hAnsi="楷体" w:eastAsia="楷体" w:cs="楷体"/>
          <w:color w:val="auto"/>
          <w:spacing w:val="-6"/>
          <w:sz w:val="32"/>
          <w:szCs w:val="32"/>
        </w:rPr>
        <w:t>（</w:t>
      </w:r>
      <w:r>
        <w:rPr>
          <w:rFonts w:hint="eastAsia" w:ascii="楷体" w:hAnsi="楷体" w:eastAsia="楷体" w:cs="楷体"/>
          <w:color w:val="auto"/>
          <w:spacing w:val="-6"/>
          <w:sz w:val="32"/>
          <w:szCs w:val="32"/>
          <w:lang w:val="en-US" w:eastAsia="zh-CN"/>
        </w:rPr>
        <w:t>四</w:t>
      </w:r>
      <w:r>
        <w:rPr>
          <w:rFonts w:hint="eastAsia" w:ascii="楷体" w:hAnsi="楷体" w:eastAsia="楷体" w:cs="楷体"/>
          <w:color w:val="auto"/>
          <w:spacing w:val="-6"/>
          <w:sz w:val="32"/>
          <w:szCs w:val="32"/>
        </w:rPr>
        <w:t>）规划情况</w:t>
      </w:r>
    </w:p>
    <w:p>
      <w:pPr>
        <w:spacing w:line="574" w:lineRule="exact"/>
        <w:ind w:firstLine="616" w:firstLineChars="200"/>
        <w:jc w:val="both"/>
        <w:outlineLvl w:val="9"/>
        <w:rPr>
          <w:rFonts w:hint="eastAsia" w:ascii="宋体" w:hAnsi="宋体" w:eastAsia="黑体" w:cs="宋体"/>
          <w:color w:val="auto"/>
          <w:spacing w:val="0"/>
          <w:kern w:val="44"/>
          <w:sz w:val="36"/>
          <w:szCs w:val="15"/>
          <w:highlight w:val="none"/>
          <w:lang w:eastAsia="zh-CN"/>
        </w:rPr>
      </w:pPr>
      <w:r>
        <w:rPr>
          <w:rFonts w:hint="eastAsia" w:ascii="仿宋_GB2312" w:hAnsi="仿宋_GB2312" w:eastAsia="仿宋_GB2312" w:cs="仿宋_GB2312"/>
          <w:color w:val="auto"/>
          <w:spacing w:val="-6"/>
          <w:kern w:val="0"/>
          <w:sz w:val="32"/>
          <w:szCs w:val="32"/>
        </w:rPr>
        <w:t>改造地块符合</w:t>
      </w:r>
      <w:r>
        <w:rPr>
          <w:rFonts w:hint="eastAsia" w:ascii="仿宋_GB2312" w:hAnsi="仿宋_GB2312" w:eastAsia="仿宋_GB2312" w:cs="仿宋_GB2312"/>
          <w:color w:val="auto"/>
          <w:spacing w:val="-6"/>
          <w:kern w:val="0"/>
          <w:sz w:val="32"/>
          <w:szCs w:val="32"/>
          <w:lang w:val="en-US" w:eastAsia="zh-CN"/>
        </w:rPr>
        <w:t>国土空间总体规划</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kern w:val="0"/>
          <w:sz w:val="32"/>
          <w:szCs w:val="32"/>
          <w:lang w:eastAsia="zh-CN"/>
        </w:rPr>
        <w:t>经批复规划条件论证。</w:t>
      </w:r>
      <w:r>
        <w:rPr>
          <w:rFonts w:hint="eastAsia" w:ascii="仿宋_GB2312" w:hAnsi="仿宋_GB2312" w:eastAsia="仿宋_GB2312" w:cs="仿宋_GB2312"/>
          <w:color w:val="auto"/>
          <w:spacing w:val="-6"/>
          <w:kern w:val="0"/>
          <w:sz w:val="32"/>
          <w:szCs w:val="32"/>
        </w:rPr>
        <w:t>其中，</w:t>
      </w:r>
      <w:r>
        <w:rPr>
          <w:rFonts w:hint="eastAsia" w:ascii="仿宋_GB2312" w:hAnsi="仿宋_GB2312" w:eastAsia="仿宋_GB2312" w:cs="仿宋_GB2312"/>
          <w:color w:val="auto"/>
          <w:spacing w:val="-6"/>
          <w:kern w:val="0"/>
          <w:sz w:val="32"/>
          <w:szCs w:val="32"/>
          <w:lang w:val="en-US" w:eastAsia="zh-CN"/>
        </w:rPr>
        <w:t>在国土空间总体规划中</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sz w:val="32"/>
          <w:szCs w:val="32"/>
          <w:lang w:val="en-US" w:eastAsia="zh-CN"/>
        </w:rPr>
        <w:t>1.6753公顷（16752.70平方米，折合约25.13亩）</w:t>
      </w:r>
      <w:r>
        <w:rPr>
          <w:rFonts w:hint="eastAsia" w:ascii="仿宋_GB2312" w:hAnsi="仿宋_GB2312" w:eastAsia="仿宋_GB2312" w:cs="仿宋_GB2312"/>
          <w:color w:val="auto"/>
          <w:spacing w:val="-6"/>
          <w:kern w:val="0"/>
          <w:sz w:val="32"/>
          <w:szCs w:val="32"/>
          <w:lang w:eastAsia="zh-CN"/>
        </w:rPr>
        <w:t>全为</w:t>
      </w:r>
      <w:r>
        <w:rPr>
          <w:rFonts w:hint="eastAsia" w:ascii="仿宋_GB2312" w:hAnsi="仿宋_GB2312" w:eastAsia="仿宋_GB2312" w:cs="仿宋_GB2312"/>
          <w:color w:val="auto"/>
          <w:spacing w:val="-6"/>
          <w:kern w:val="0"/>
          <w:sz w:val="32"/>
          <w:szCs w:val="32"/>
        </w:rPr>
        <w:t>城镇建设用地；</w:t>
      </w:r>
      <w:r>
        <w:rPr>
          <w:rFonts w:hint="eastAsia" w:ascii="仿宋_GB2312" w:hAnsi="仿宋_GB2312" w:eastAsia="仿宋_GB2312" w:cs="仿宋_GB2312"/>
          <w:color w:val="auto"/>
          <w:spacing w:val="-6"/>
          <w:kern w:val="0"/>
          <w:sz w:val="32"/>
          <w:szCs w:val="32"/>
          <w:highlight w:val="none"/>
        </w:rPr>
        <w:t>在</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中山市板芙镇工业用地规划条件论证报告》</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中府函〔2022〕237号</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中，一类工业用地</w:t>
      </w:r>
      <w:r>
        <w:rPr>
          <w:rFonts w:hint="eastAsia" w:ascii="仿宋_GB2312" w:hAnsi="仿宋_GB2312" w:eastAsia="仿宋_GB2312" w:cs="仿宋_GB2312"/>
          <w:color w:val="auto"/>
          <w:spacing w:val="-6"/>
          <w:kern w:val="0"/>
          <w:sz w:val="32"/>
          <w:szCs w:val="32"/>
          <w:highlight w:val="none"/>
          <w:lang w:val="en-US" w:eastAsia="zh-CN"/>
        </w:rPr>
        <w:t>1.5139</w:t>
      </w:r>
      <w:r>
        <w:rPr>
          <w:rFonts w:hint="eastAsia" w:ascii="仿宋_GB2312" w:hAnsi="仿宋_GB2312" w:eastAsia="仿宋_GB2312" w:cs="仿宋_GB2312"/>
          <w:color w:val="auto"/>
          <w:spacing w:val="-6"/>
          <w:kern w:val="0"/>
          <w:sz w:val="32"/>
          <w:szCs w:val="32"/>
          <w:highlight w:val="none"/>
        </w:rPr>
        <w:t>公顷（</w:t>
      </w:r>
      <w:r>
        <w:rPr>
          <w:rFonts w:hint="eastAsia" w:ascii="仿宋_GB2312" w:hAnsi="仿宋_GB2312" w:eastAsia="仿宋_GB2312" w:cs="仿宋_GB2312"/>
          <w:color w:val="auto"/>
          <w:spacing w:val="-6"/>
          <w:kern w:val="0"/>
          <w:sz w:val="32"/>
          <w:szCs w:val="32"/>
          <w:highlight w:val="none"/>
          <w:lang w:val="en-US" w:eastAsia="zh-CN"/>
        </w:rPr>
        <w:t>15138.83</w:t>
      </w:r>
      <w:r>
        <w:rPr>
          <w:rFonts w:hint="eastAsia" w:ascii="仿宋_GB2312" w:hAnsi="仿宋_GB2312" w:eastAsia="仿宋_GB2312" w:cs="仿宋_GB2312"/>
          <w:color w:val="auto"/>
          <w:spacing w:val="-6"/>
          <w:kern w:val="0"/>
          <w:sz w:val="32"/>
          <w:szCs w:val="32"/>
          <w:highlight w:val="none"/>
        </w:rPr>
        <w:t>平方米，折合约</w:t>
      </w:r>
      <w:r>
        <w:rPr>
          <w:rFonts w:hint="eastAsia" w:ascii="仿宋_GB2312" w:hAnsi="仿宋_GB2312" w:eastAsia="仿宋_GB2312" w:cs="仿宋_GB2312"/>
          <w:color w:val="auto"/>
          <w:spacing w:val="-6"/>
          <w:kern w:val="0"/>
          <w:sz w:val="32"/>
          <w:szCs w:val="32"/>
          <w:highlight w:val="none"/>
          <w:lang w:val="en-US" w:eastAsia="zh-CN"/>
        </w:rPr>
        <w:t>22.71</w:t>
      </w:r>
      <w:r>
        <w:rPr>
          <w:rFonts w:hint="eastAsia" w:ascii="仿宋_GB2312" w:hAnsi="仿宋_GB2312" w:eastAsia="仿宋_GB2312" w:cs="仿宋_GB2312"/>
          <w:color w:val="auto"/>
          <w:spacing w:val="-6"/>
          <w:kern w:val="0"/>
          <w:sz w:val="32"/>
          <w:szCs w:val="32"/>
          <w:highlight w:val="none"/>
        </w:rPr>
        <w:t>亩）规</w:t>
      </w:r>
      <w:r>
        <w:rPr>
          <w:rFonts w:hint="eastAsia" w:ascii="仿宋_GB2312" w:hAnsi="仿宋_GB2312" w:eastAsia="仿宋_GB2312" w:cs="仿宋_GB2312"/>
          <w:color w:val="auto"/>
          <w:spacing w:val="-6"/>
          <w:kern w:val="2"/>
          <w:sz w:val="32"/>
          <w:szCs w:val="24"/>
          <w:highlight w:val="none"/>
        </w:rPr>
        <w:t>划容积率</w:t>
      </w:r>
      <w:r>
        <w:rPr>
          <w:rFonts w:hint="eastAsia" w:ascii="仿宋_GB2312" w:hAnsi="仿宋_GB2312" w:eastAsia="仿宋_GB2312" w:cs="仿宋_GB2312"/>
          <w:color w:val="auto"/>
          <w:spacing w:val="-6"/>
          <w:kern w:val="2"/>
          <w:sz w:val="32"/>
          <w:szCs w:val="24"/>
          <w:highlight w:val="none"/>
          <w:lang w:eastAsia="zh-CN"/>
        </w:rPr>
        <w:t>为</w:t>
      </w:r>
      <w:r>
        <w:rPr>
          <w:rFonts w:hint="eastAsia" w:ascii="仿宋_GB2312" w:hAnsi="仿宋_GB2312" w:eastAsia="仿宋_GB2312" w:cs="仿宋_GB2312"/>
          <w:color w:val="auto"/>
          <w:spacing w:val="-6"/>
          <w:kern w:val="2"/>
          <w:sz w:val="32"/>
          <w:szCs w:val="24"/>
          <w:highlight w:val="none"/>
          <w:lang w:val="en-US" w:eastAsia="zh-CN"/>
        </w:rPr>
        <w:t>1.0-</w:t>
      </w:r>
      <w:r>
        <w:rPr>
          <w:rFonts w:hint="eastAsia" w:ascii="仿宋_GB2312" w:hAnsi="仿宋_GB2312" w:eastAsia="仿宋_GB2312" w:cs="仿宋_GB2312"/>
          <w:color w:val="auto"/>
          <w:spacing w:val="-6"/>
          <w:kern w:val="2"/>
          <w:sz w:val="32"/>
          <w:szCs w:val="24"/>
          <w:highlight w:val="none"/>
          <w:u w:val="none"/>
          <w:lang w:val="en-US" w:eastAsia="zh-CN"/>
        </w:rPr>
        <w:t>3.5</w:t>
      </w:r>
      <w:r>
        <w:rPr>
          <w:rFonts w:hint="eastAsia" w:ascii="仿宋_GB2312" w:hAnsi="仿宋_GB2312" w:eastAsia="仿宋_GB2312" w:cs="仿宋_GB2312"/>
          <w:color w:val="auto"/>
          <w:spacing w:val="-6"/>
          <w:kern w:val="2"/>
          <w:sz w:val="32"/>
          <w:szCs w:val="24"/>
          <w:highlight w:val="none"/>
        </w:rPr>
        <w:t>，建筑密度</w:t>
      </w:r>
      <w:r>
        <w:rPr>
          <w:rFonts w:hint="eastAsia" w:ascii="仿宋_GB2312" w:hAnsi="仿宋_GB2312" w:eastAsia="仿宋_GB2312" w:cs="仿宋_GB2312"/>
          <w:color w:val="auto"/>
          <w:spacing w:val="-6"/>
          <w:kern w:val="2"/>
          <w:sz w:val="32"/>
          <w:szCs w:val="24"/>
          <w:highlight w:val="none"/>
          <w:u w:val="none"/>
          <w:lang w:val="en-US" w:eastAsia="zh-CN"/>
        </w:rPr>
        <w:t>35-60%</w:t>
      </w:r>
      <w:r>
        <w:rPr>
          <w:rFonts w:hint="eastAsia" w:ascii="仿宋_GB2312" w:hAnsi="仿宋_GB2312" w:eastAsia="仿宋_GB2312" w:cs="仿宋_GB2312"/>
          <w:color w:val="auto"/>
          <w:spacing w:val="-6"/>
          <w:kern w:val="2"/>
          <w:sz w:val="32"/>
          <w:szCs w:val="24"/>
          <w:highlight w:val="none"/>
        </w:rPr>
        <w:t>，绿地率10-15%，生产性建筑高度≤50m，配套设施建筑高度≤100m</w:t>
      </w:r>
      <w:r>
        <w:rPr>
          <w:rFonts w:hint="eastAsia" w:ascii="仿宋_GB2312" w:hAnsi="仿宋_GB2312" w:eastAsia="仿宋_GB2312" w:cs="仿宋_GB2312"/>
          <w:color w:val="auto"/>
          <w:spacing w:val="-6"/>
          <w:kern w:val="2"/>
          <w:sz w:val="32"/>
          <w:szCs w:val="24"/>
          <w:highlight w:val="none"/>
          <w:lang w:eastAsia="zh-CN"/>
        </w:rPr>
        <w:t>；公共绿地</w:t>
      </w:r>
      <w:r>
        <w:rPr>
          <w:rFonts w:hint="eastAsia" w:ascii="仿宋_GB2312" w:hAnsi="仿宋_GB2312" w:eastAsia="仿宋_GB2312" w:cs="仿宋_GB2312"/>
          <w:color w:val="auto"/>
          <w:spacing w:val="-6"/>
          <w:kern w:val="0"/>
          <w:sz w:val="32"/>
          <w:szCs w:val="32"/>
          <w:highlight w:val="none"/>
          <w:lang w:val="en-US" w:eastAsia="zh-CN"/>
        </w:rPr>
        <w:t>0.1124公顷（1124.27平方米，折合约1.69亩）</w:t>
      </w:r>
      <w:r>
        <w:rPr>
          <w:rFonts w:hint="eastAsia" w:ascii="仿宋_GB2312" w:hAnsi="仿宋_GB2312" w:eastAsia="仿宋_GB2312" w:cs="仿宋_GB2312"/>
          <w:color w:val="auto"/>
          <w:spacing w:val="-6"/>
          <w:kern w:val="0"/>
          <w:sz w:val="32"/>
          <w:szCs w:val="32"/>
          <w:highlight w:val="none"/>
          <w:lang w:eastAsia="zh-CN"/>
        </w:rPr>
        <w:t>，道路用地</w:t>
      </w:r>
      <w:r>
        <w:rPr>
          <w:rFonts w:hint="eastAsia" w:ascii="仿宋_GB2312" w:hAnsi="仿宋_GB2312" w:eastAsia="仿宋_GB2312" w:cs="仿宋_GB2312"/>
          <w:color w:val="auto"/>
          <w:spacing w:val="-6"/>
          <w:kern w:val="0"/>
          <w:sz w:val="32"/>
          <w:szCs w:val="32"/>
          <w:highlight w:val="none"/>
          <w:lang w:val="en-US" w:eastAsia="zh-CN"/>
        </w:rPr>
        <w:t>0.0490公顷（489.60平方米，折合约0.73亩）</w:t>
      </w:r>
      <w:r>
        <w:rPr>
          <w:rFonts w:hint="eastAsia" w:ascii="仿宋_GB2312" w:hAnsi="仿宋_GB2312" w:eastAsia="仿宋_GB2312" w:cs="仿宋_GB2312"/>
          <w:color w:val="auto"/>
          <w:spacing w:val="-6"/>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lang w:eastAsia="zh-CN"/>
        </w:rPr>
        <w:t>该用地不</w:t>
      </w:r>
      <w:r>
        <w:rPr>
          <w:rFonts w:hint="eastAsia" w:ascii="仿宋_GB2312" w:hAnsi="仿宋_GB2312" w:eastAsia="仿宋_GB2312" w:cs="仿宋_GB2312"/>
          <w:color w:val="auto"/>
          <w:spacing w:val="-6"/>
          <w:sz w:val="32"/>
          <w:szCs w:val="32"/>
        </w:rPr>
        <w:t>涉及到永久基本农田、生态保护红线</w:t>
      </w:r>
      <w:r>
        <w:rPr>
          <w:rFonts w:hint="eastAsia" w:ascii="仿宋_GB2312" w:hAnsi="仿宋_GB2312" w:eastAsia="仿宋_GB2312" w:cs="仿宋_GB2312"/>
          <w:color w:val="auto"/>
          <w:spacing w:val="-6"/>
          <w:sz w:val="32"/>
          <w:szCs w:val="32"/>
          <w:lang w:eastAsia="zh-CN"/>
        </w:rPr>
        <w:t>，全部位于</w:t>
      </w:r>
      <w:r>
        <w:rPr>
          <w:rFonts w:hint="eastAsia" w:ascii="仿宋_GB2312" w:hAnsi="仿宋_GB2312" w:eastAsia="仿宋_GB2312" w:cs="仿宋_GB2312"/>
          <w:color w:val="auto"/>
          <w:spacing w:val="-6"/>
          <w:sz w:val="32"/>
          <w:szCs w:val="32"/>
        </w:rPr>
        <w:t>城镇开发边界</w:t>
      </w:r>
      <w:r>
        <w:rPr>
          <w:rFonts w:hint="eastAsia" w:ascii="仿宋_GB2312" w:hAnsi="仿宋_GB2312" w:eastAsia="仿宋_GB2312" w:cs="仿宋_GB2312"/>
          <w:color w:val="auto"/>
          <w:spacing w:val="-6"/>
          <w:sz w:val="32"/>
          <w:szCs w:val="32"/>
          <w:lang w:eastAsia="zh-CN"/>
        </w:rPr>
        <w:t>内，</w:t>
      </w:r>
      <w:r>
        <w:rPr>
          <w:rFonts w:hint="eastAsia" w:ascii="仿宋_GB2312" w:hAnsi="仿宋_GB2312" w:eastAsia="仿宋_GB2312" w:cs="仿宋_GB2312"/>
          <w:color w:val="auto"/>
          <w:spacing w:val="-6"/>
          <w:sz w:val="32"/>
          <w:szCs w:val="32"/>
          <w:highlight w:val="none"/>
          <w:lang w:val="en-US" w:eastAsia="zh-CN"/>
        </w:rPr>
        <w:t>属于一级工业用地保护线范围内</w:t>
      </w:r>
      <w:r>
        <w:rPr>
          <w:rFonts w:hint="eastAsia" w:ascii="仿宋_GB2312" w:hAnsi="仿宋_GB2312" w:eastAsia="仿宋_GB2312" w:cs="仿宋_GB2312"/>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二、改造意愿及安置补偿情况</w:t>
      </w:r>
    </w:p>
    <w:p>
      <w:pPr>
        <w:spacing w:line="574" w:lineRule="exact"/>
        <w:ind w:firstLine="616" w:firstLineChars="200"/>
        <w:rPr>
          <w:rFonts w:hint="eastAsia" w:ascii="楷体" w:hAnsi="楷体" w:eastAsia="楷体" w:cs="楷体"/>
          <w:color w:val="auto"/>
          <w:spacing w:val="-6"/>
          <w:kern w:val="0"/>
          <w:sz w:val="32"/>
          <w:szCs w:val="32"/>
        </w:rPr>
      </w:pPr>
      <w:r>
        <w:rPr>
          <w:rFonts w:hint="eastAsia" w:ascii="楷体" w:hAnsi="楷体" w:eastAsia="楷体" w:cs="楷体"/>
          <w:color w:val="auto"/>
          <w:spacing w:val="-6"/>
          <w:kern w:val="0"/>
          <w:sz w:val="32"/>
          <w:szCs w:val="32"/>
        </w:rPr>
        <w:t>（一）改造意愿情况</w:t>
      </w:r>
    </w:p>
    <w:p>
      <w:pPr>
        <w:spacing w:line="574" w:lineRule="exact"/>
        <w:ind w:firstLine="616" w:firstLineChars="200"/>
        <w:rPr>
          <w:rFonts w:hint="eastAsia" w:ascii="仿宋_GB2312" w:hAnsi="仿宋_GB2312" w:eastAsia="仿宋_GB2312" w:cs="仿宋_GB2312"/>
          <w:color w:val="auto"/>
          <w:spacing w:val="-6"/>
          <w:sz w:val="32"/>
          <w:lang w:eastAsia="zh-CN"/>
        </w:rPr>
      </w:pPr>
      <w:r>
        <w:rPr>
          <w:rFonts w:hint="eastAsia" w:ascii="仿宋_GB2312" w:hAnsi="仿宋_GB2312" w:eastAsia="仿宋_GB2312" w:cs="仿宋_GB2312"/>
          <w:color w:val="auto"/>
          <w:spacing w:val="-6"/>
          <w:kern w:val="0"/>
          <w:sz w:val="32"/>
          <w:szCs w:val="32"/>
        </w:rPr>
        <w:t>改造范围涉及</w:t>
      </w:r>
      <w:r>
        <w:rPr>
          <w:rFonts w:hint="eastAsia" w:ascii="仿宋_GB2312" w:hAnsi="仿宋_GB2312" w:eastAsia="仿宋_GB2312" w:cs="仿宋_GB2312"/>
          <w:color w:val="auto"/>
          <w:spacing w:val="-6"/>
          <w:kern w:val="0"/>
          <w:sz w:val="32"/>
          <w:szCs w:val="32"/>
          <w:lang w:eastAsia="zh-CN"/>
        </w:rPr>
        <w:t>里溪二队</w:t>
      </w:r>
      <w:r>
        <w:rPr>
          <w:rFonts w:hint="eastAsia" w:ascii="仿宋_GB2312" w:hAnsi="仿宋_GB2312" w:eastAsia="仿宋_GB2312" w:cs="仿宋_GB2312"/>
          <w:color w:val="auto"/>
          <w:spacing w:val="-6"/>
          <w:kern w:val="0"/>
          <w:sz w:val="32"/>
          <w:szCs w:val="32"/>
          <w:lang w:val="en-US" w:eastAsia="zh-CN"/>
        </w:rPr>
        <w:t>1</w:t>
      </w:r>
      <w:r>
        <w:rPr>
          <w:rFonts w:hint="eastAsia" w:ascii="仿宋_GB2312" w:hAnsi="仿宋_GB2312" w:eastAsia="仿宋_GB2312" w:cs="仿宋_GB2312"/>
          <w:color w:val="auto"/>
          <w:spacing w:val="-6"/>
          <w:kern w:val="0"/>
          <w:sz w:val="32"/>
          <w:szCs w:val="32"/>
        </w:rPr>
        <w:t>个权利主体，</w:t>
      </w:r>
      <w:r>
        <w:rPr>
          <w:rFonts w:hint="eastAsia" w:ascii="仿宋_GB2312" w:hAnsi="仿宋_GB2312" w:eastAsia="仿宋_GB2312" w:cs="仿宋_GB2312"/>
          <w:color w:val="auto"/>
          <w:spacing w:val="-6"/>
          <w:kern w:val="0"/>
          <w:sz w:val="32"/>
          <w:szCs w:val="32"/>
          <w:lang w:eastAsia="zh-CN"/>
        </w:rPr>
        <w:t>板芙镇人民政府</w:t>
      </w:r>
      <w:r>
        <w:rPr>
          <w:rFonts w:hint="eastAsia" w:ascii="仿宋_GB2312" w:hAnsi="仿宋_GB2312" w:eastAsia="仿宋_GB2312" w:cs="仿宋_GB2312"/>
          <w:color w:val="auto"/>
          <w:spacing w:val="-6"/>
          <w:kern w:val="0"/>
          <w:sz w:val="32"/>
          <w:szCs w:val="32"/>
        </w:rPr>
        <w:t>已按照</w:t>
      </w:r>
      <w:r>
        <w:rPr>
          <w:rFonts w:hint="eastAsia" w:ascii="仿宋_GB2312" w:hAnsi="仿宋_GB2312" w:eastAsia="仿宋_GB2312" w:cs="仿宋_GB2312"/>
          <w:color w:val="auto"/>
          <w:spacing w:val="-6"/>
          <w:sz w:val="32"/>
        </w:rPr>
        <w:t>法律法规，就改造范围、土地现状、改造主体及拟改造情况</w:t>
      </w:r>
      <w:r>
        <w:rPr>
          <w:rFonts w:hint="eastAsia" w:ascii="仿宋_GB2312" w:hAnsi="仿宋_GB2312" w:eastAsia="仿宋_GB2312" w:cs="仿宋_GB2312"/>
          <w:color w:val="auto"/>
          <w:spacing w:val="-6"/>
          <w:kern w:val="0"/>
          <w:sz w:val="32"/>
          <w:szCs w:val="32"/>
          <w:highlight w:val="none"/>
        </w:rPr>
        <w:t>、补偿安置方式及标准</w:t>
      </w:r>
      <w:r>
        <w:rPr>
          <w:rFonts w:hint="eastAsia" w:ascii="仿宋_GB2312" w:hAnsi="仿宋_GB2312" w:eastAsia="仿宋_GB2312" w:cs="仿宋_GB2312"/>
          <w:color w:val="auto"/>
          <w:spacing w:val="-6"/>
          <w:sz w:val="32"/>
        </w:rPr>
        <w:t>等事项</w:t>
      </w:r>
      <w:r>
        <w:rPr>
          <w:rFonts w:hint="eastAsia" w:ascii="仿宋_GB2312" w:hAnsi="仿宋_GB2312" w:eastAsia="仿宋_GB2312" w:cs="仿宋_GB2312"/>
          <w:color w:val="auto"/>
          <w:spacing w:val="-6"/>
          <w:kern w:val="0"/>
          <w:sz w:val="32"/>
          <w:szCs w:val="32"/>
          <w:highlight w:val="none"/>
        </w:rPr>
        <w:t>征询涉及所有权利人改造意愿，</w:t>
      </w:r>
      <w:r>
        <w:rPr>
          <w:rFonts w:hint="eastAsia" w:ascii="仿宋_GB2312" w:hAnsi="仿宋_GB2312" w:eastAsia="仿宋_GB2312" w:cs="仿宋_GB2312"/>
          <w:color w:val="auto"/>
          <w:spacing w:val="-6"/>
          <w:sz w:val="32"/>
          <w:szCs w:val="32"/>
        </w:rPr>
        <w:t>经</w:t>
      </w:r>
      <w:r>
        <w:rPr>
          <w:rFonts w:hint="eastAsia" w:ascii="仿宋_GB2312" w:hAnsi="仿宋_GB2312" w:eastAsia="仿宋_GB2312" w:cs="仿宋_GB2312"/>
          <w:color w:val="auto"/>
          <w:spacing w:val="-6"/>
          <w:kern w:val="0"/>
          <w:sz w:val="32"/>
          <w:szCs w:val="32"/>
          <w:lang w:eastAsia="zh-CN"/>
        </w:rPr>
        <w:t>里溪二队成员</w:t>
      </w:r>
      <w:r>
        <w:rPr>
          <w:rFonts w:hint="eastAsia" w:ascii="仿宋_GB2312" w:hAnsi="仿宋_GB2312" w:eastAsia="仿宋_GB2312" w:cs="仿宋_GB2312"/>
          <w:color w:val="auto"/>
          <w:spacing w:val="-6"/>
          <w:sz w:val="32"/>
        </w:rPr>
        <w:t>代表大会三分之二以上成员</w:t>
      </w:r>
      <w:r>
        <w:rPr>
          <w:rFonts w:hint="eastAsia" w:ascii="仿宋_GB2312" w:hAnsi="仿宋_GB2312" w:eastAsia="仿宋_GB2312" w:cs="仿宋_GB2312"/>
          <w:color w:val="auto"/>
          <w:spacing w:val="-6"/>
          <w:sz w:val="32"/>
          <w:lang w:val="en-US" w:eastAsia="zh-CN"/>
        </w:rPr>
        <w:t>代表</w:t>
      </w:r>
      <w:r>
        <w:rPr>
          <w:rFonts w:hint="eastAsia" w:ascii="仿宋_GB2312" w:hAnsi="仿宋_GB2312" w:eastAsia="仿宋_GB2312" w:cs="仿宋_GB2312"/>
          <w:color w:val="auto"/>
          <w:spacing w:val="-6"/>
          <w:sz w:val="32"/>
        </w:rPr>
        <w:t>同意，</w:t>
      </w:r>
      <w:r>
        <w:rPr>
          <w:rFonts w:eastAsia="仿宋_GB2312"/>
          <w:color w:val="auto"/>
          <w:spacing w:val="-6"/>
          <w:sz w:val="32"/>
          <w:szCs w:val="32"/>
        </w:rPr>
        <w:t>将涉及</w:t>
      </w:r>
      <w:r>
        <w:rPr>
          <w:rFonts w:hint="eastAsia" w:eastAsia="仿宋_GB2312"/>
          <w:color w:val="auto"/>
          <w:spacing w:val="-6"/>
          <w:sz w:val="32"/>
          <w:szCs w:val="32"/>
          <w:lang w:val="en-US" w:eastAsia="zh-CN"/>
        </w:rPr>
        <w:t>的</w:t>
      </w:r>
      <w:r>
        <w:rPr>
          <w:rFonts w:eastAsia="仿宋_GB2312"/>
          <w:color w:val="auto"/>
          <w:spacing w:val="-6"/>
          <w:sz w:val="32"/>
          <w:szCs w:val="32"/>
        </w:rPr>
        <w:t>土地</w:t>
      </w:r>
      <w:r>
        <w:rPr>
          <w:rFonts w:hint="eastAsia" w:eastAsia="仿宋_GB2312"/>
          <w:color w:val="auto"/>
          <w:spacing w:val="-6"/>
          <w:sz w:val="32"/>
          <w:szCs w:val="32"/>
          <w:lang w:val="en-US" w:eastAsia="zh-CN"/>
        </w:rPr>
        <w:t>及地上附着物</w:t>
      </w:r>
      <w:r>
        <w:rPr>
          <w:rFonts w:eastAsia="仿宋_GB2312"/>
          <w:color w:val="auto"/>
          <w:spacing w:val="-6"/>
          <w:sz w:val="32"/>
          <w:szCs w:val="32"/>
        </w:rPr>
        <w:t>纳入改造范围</w:t>
      </w:r>
      <w:r>
        <w:rPr>
          <w:rFonts w:hint="eastAsia" w:ascii="仿宋_GB2312" w:hAnsi="仿宋_GB2312" w:eastAsia="仿宋_GB2312" w:cs="仿宋_GB2312"/>
          <w:color w:val="auto"/>
          <w:spacing w:val="-6"/>
          <w:sz w:val="32"/>
        </w:rPr>
        <w:t>。</w:t>
      </w:r>
    </w:p>
    <w:p>
      <w:pPr>
        <w:numPr>
          <w:ilvl w:val="0"/>
          <w:numId w:val="1"/>
        </w:numPr>
        <w:spacing w:line="574" w:lineRule="exact"/>
        <w:ind w:firstLine="616" w:firstLineChars="200"/>
        <w:rPr>
          <w:rFonts w:hint="eastAsia" w:ascii="楷体" w:hAnsi="楷体" w:eastAsia="楷体" w:cs="楷体"/>
          <w:color w:val="auto"/>
          <w:spacing w:val="-6"/>
          <w:kern w:val="0"/>
          <w:sz w:val="32"/>
          <w:szCs w:val="32"/>
        </w:rPr>
      </w:pPr>
      <w:r>
        <w:rPr>
          <w:rFonts w:hint="eastAsia" w:ascii="楷体" w:hAnsi="楷体" w:eastAsia="楷体" w:cs="楷体"/>
          <w:color w:val="auto"/>
          <w:spacing w:val="-6"/>
          <w:kern w:val="0"/>
          <w:sz w:val="32"/>
          <w:szCs w:val="32"/>
        </w:rPr>
        <w:t>补偿安置情况</w:t>
      </w:r>
    </w:p>
    <w:p>
      <w:pPr>
        <w:spacing w:line="574" w:lineRule="exact"/>
        <w:ind w:firstLine="616" w:firstLineChars="200"/>
        <w:rPr>
          <w:rFonts w:hint="eastAsia" w:ascii="仿宋_GB2312" w:hAnsi="仿宋_GB2312" w:eastAsia="仿宋_GB2312" w:cs="仿宋_GB2312"/>
          <w:color w:val="auto"/>
          <w:spacing w:val="-6"/>
          <w:sz w:val="32"/>
          <w:lang w:eastAsia="zh-CN"/>
        </w:rPr>
      </w:pPr>
      <w:r>
        <w:rPr>
          <w:rFonts w:hint="eastAsia" w:ascii="仿宋_GB2312" w:hAnsi="仿宋_GB2312" w:eastAsia="仿宋_GB2312" w:cs="仿宋_GB2312"/>
          <w:color w:val="auto"/>
          <w:spacing w:val="-6"/>
          <w:kern w:val="0"/>
          <w:sz w:val="32"/>
          <w:szCs w:val="32"/>
          <w:lang w:eastAsia="zh-CN"/>
        </w:rPr>
        <w:t>项目涉及收回里溪二队名下</w:t>
      </w:r>
      <w:r>
        <w:rPr>
          <w:rFonts w:hint="eastAsia" w:ascii="仿宋_GB2312" w:hAnsi="仿宋_GB2312" w:eastAsia="仿宋_GB2312" w:cs="仿宋_GB2312"/>
          <w:color w:val="auto"/>
          <w:spacing w:val="-6"/>
          <w:sz w:val="32"/>
          <w:lang w:val="en-US" w:eastAsia="zh-CN"/>
        </w:rPr>
        <w:t>1.3666公顷（13665.60</w:t>
      </w:r>
      <w:r>
        <w:rPr>
          <w:rFonts w:hint="eastAsia" w:ascii="仿宋_GB2312" w:hAnsi="仿宋_GB2312" w:eastAsia="仿宋_GB2312" w:cs="仿宋_GB2312"/>
          <w:color w:val="auto"/>
          <w:spacing w:val="-6"/>
          <w:sz w:val="32"/>
        </w:rPr>
        <w:t>平方米，折合约</w:t>
      </w:r>
      <w:r>
        <w:rPr>
          <w:rFonts w:hint="eastAsia" w:ascii="仿宋_GB2312" w:hAnsi="仿宋_GB2312" w:eastAsia="仿宋_GB2312" w:cs="仿宋_GB2312"/>
          <w:color w:val="auto"/>
          <w:spacing w:val="-6"/>
          <w:sz w:val="32"/>
          <w:lang w:val="en-US" w:eastAsia="zh-CN"/>
        </w:rPr>
        <w:t>20.49</w:t>
      </w:r>
      <w:r>
        <w:rPr>
          <w:rFonts w:hint="eastAsia" w:ascii="仿宋_GB2312" w:hAnsi="仿宋_GB2312" w:eastAsia="仿宋_GB2312" w:cs="仿宋_GB2312"/>
          <w:color w:val="auto"/>
          <w:spacing w:val="-6"/>
          <w:sz w:val="32"/>
        </w:rPr>
        <w:t>亩）</w:t>
      </w:r>
      <w:r>
        <w:rPr>
          <w:rFonts w:hint="eastAsia" w:ascii="仿宋_GB2312" w:hAnsi="仿宋_GB2312" w:eastAsia="仿宋_GB2312" w:cs="仿宋_GB2312"/>
          <w:color w:val="auto"/>
          <w:spacing w:val="-6"/>
          <w:kern w:val="0"/>
          <w:sz w:val="32"/>
          <w:szCs w:val="32"/>
          <w:lang w:eastAsia="zh-CN"/>
        </w:rPr>
        <w:t>国有土地及</w:t>
      </w:r>
      <w:r>
        <w:rPr>
          <w:rFonts w:hint="eastAsia" w:ascii="仿宋_GB2312" w:hAnsi="仿宋_GB2312" w:eastAsia="仿宋_GB2312" w:cs="仿宋_GB2312"/>
          <w:color w:val="auto"/>
          <w:spacing w:val="-6"/>
          <w:kern w:val="0"/>
          <w:sz w:val="32"/>
          <w:szCs w:val="32"/>
          <w:highlight w:val="none"/>
          <w:lang w:eastAsia="zh-CN"/>
        </w:rPr>
        <w:t>征收里溪二队名下</w:t>
      </w:r>
      <w:r>
        <w:rPr>
          <w:rFonts w:hint="eastAsia" w:ascii="仿宋_GB2312" w:hAnsi="仿宋_GB2312" w:eastAsia="仿宋_GB2312" w:cs="仿宋_GB2312"/>
          <w:color w:val="auto"/>
          <w:spacing w:val="-6"/>
          <w:kern w:val="2"/>
          <w:sz w:val="32"/>
          <w:szCs w:val="32"/>
          <w:lang w:val="en-US" w:eastAsia="zh-CN"/>
        </w:rPr>
        <w:t>0.3087公顷（3087.10平方米，折合4.63亩）</w:t>
      </w:r>
      <w:r>
        <w:rPr>
          <w:rFonts w:hint="eastAsia" w:ascii="仿宋_GB2312" w:hAnsi="仿宋_GB2312" w:eastAsia="仿宋_GB2312" w:cs="仿宋_GB2312"/>
          <w:color w:val="auto"/>
          <w:spacing w:val="-6"/>
          <w:kern w:val="0"/>
          <w:sz w:val="32"/>
          <w:szCs w:val="32"/>
          <w:highlight w:val="none"/>
          <w:lang w:val="en-US" w:eastAsia="zh-CN"/>
        </w:rPr>
        <w:t>集体用地，并将该集体用地转为国有建设用地</w:t>
      </w:r>
      <w:r>
        <w:rPr>
          <w:rFonts w:hint="eastAsia" w:ascii="仿宋_GB2312" w:hAnsi="仿宋_GB2312" w:eastAsia="仿宋_GB2312" w:cs="仿宋_GB2312"/>
          <w:color w:val="auto"/>
          <w:spacing w:val="-6"/>
          <w:kern w:val="0"/>
          <w:sz w:val="32"/>
          <w:szCs w:val="32"/>
          <w:lang w:eastAsia="zh-CN"/>
        </w:rPr>
        <w:t>，具体补偿安置情</w:t>
      </w:r>
      <w:r>
        <w:rPr>
          <w:rFonts w:hint="eastAsia" w:ascii="仿宋_GB2312" w:hAnsi="仿宋_GB2312" w:eastAsia="仿宋_GB2312" w:cs="仿宋_GB2312"/>
          <w:color w:val="auto"/>
          <w:spacing w:val="-6"/>
          <w:kern w:val="2"/>
          <w:sz w:val="32"/>
          <w:szCs w:val="24"/>
          <w:lang w:eastAsia="zh-CN"/>
        </w:rPr>
        <w:t>况如下</w:t>
      </w:r>
      <w:r>
        <w:rPr>
          <w:rFonts w:hint="eastAsia" w:ascii="仿宋_GB2312" w:hAnsi="仿宋_GB2312" w:eastAsia="仿宋_GB2312" w:cs="仿宋_GB2312"/>
          <w:color w:val="auto"/>
          <w:spacing w:val="-6"/>
          <w:sz w:val="32"/>
          <w:lang w:eastAsia="zh-CN"/>
        </w:rPr>
        <w:t>：</w:t>
      </w:r>
    </w:p>
    <w:p>
      <w:pPr>
        <w:spacing w:line="574" w:lineRule="exact"/>
        <w:ind w:left="0" w:leftChars="0" w:firstLine="616" w:firstLineChars="200"/>
        <w:rPr>
          <w:rFonts w:hint="eastAsia" w:ascii="仿宋_GB2312" w:hAnsi="仿宋_GB2312" w:eastAsia="仿宋_GB2312" w:cs="仿宋_GB2312"/>
          <w:color w:val="auto"/>
          <w:spacing w:val="-6"/>
          <w:sz w:val="32"/>
          <w:lang w:val="en-US" w:eastAsia="zh-CN"/>
        </w:rPr>
      </w:pPr>
      <w:r>
        <w:rPr>
          <w:rFonts w:hint="eastAsia" w:ascii="仿宋_GB2312" w:hAnsi="仿宋_GB2312" w:eastAsia="仿宋_GB2312" w:cs="仿宋_GB2312"/>
          <w:color w:val="auto"/>
          <w:spacing w:val="-6"/>
          <w:sz w:val="32"/>
          <w:lang w:val="en-US" w:eastAsia="zh-CN"/>
        </w:rPr>
        <w:t>1.国有用地部分</w:t>
      </w:r>
      <w:r>
        <w:rPr>
          <w:rFonts w:hint="eastAsia" w:ascii="仿宋_GB2312" w:hAnsi="仿宋_GB2312" w:eastAsia="仿宋_GB2312" w:cs="仿宋_GB2312"/>
          <w:color w:val="auto"/>
          <w:spacing w:val="-6"/>
          <w:sz w:val="32"/>
          <w:lang w:eastAsia="zh-CN"/>
        </w:rPr>
        <w:t>采取</w:t>
      </w:r>
      <w:r>
        <w:rPr>
          <w:rFonts w:hint="eastAsia" w:ascii="仿宋_GB2312" w:hAnsi="仿宋_GB2312" w:eastAsia="仿宋_GB2312" w:cs="仿宋_GB2312"/>
          <w:color w:val="auto"/>
          <w:spacing w:val="-6"/>
          <w:sz w:val="32"/>
          <w:lang w:val="en-US" w:eastAsia="zh-CN"/>
        </w:rPr>
        <w:t>现金和物业两种形式进行补偿，现金补偿不少于399.142万元，物业补偿不少11000平方米国有产权性质工业厂房和不少于22个配套汽车车位</w:t>
      </w:r>
      <w:r>
        <w:rPr>
          <w:rFonts w:hint="eastAsia" w:ascii="仿宋_GB2312" w:hAnsi="仿宋_GB2312" w:eastAsia="仿宋_GB2312" w:cs="仿宋_GB2312"/>
          <w:color w:val="auto"/>
          <w:spacing w:val="-6"/>
          <w:sz w:val="32"/>
        </w:rPr>
        <w:t>；土地竞得人</w:t>
      </w:r>
      <w:r>
        <w:rPr>
          <w:rFonts w:hint="eastAsia" w:ascii="仿宋_GB2312" w:hAnsi="仿宋_GB2312" w:eastAsia="仿宋_GB2312" w:cs="仿宋_GB2312"/>
          <w:color w:val="auto"/>
          <w:spacing w:val="-6"/>
          <w:sz w:val="32"/>
          <w:lang w:val="en-US" w:eastAsia="zh-CN"/>
        </w:rPr>
        <w:t>向</w:t>
      </w:r>
      <w:r>
        <w:rPr>
          <w:rFonts w:hint="eastAsia" w:ascii="仿宋_GB2312" w:hAnsi="仿宋_GB2312" w:eastAsia="仿宋_GB2312" w:cs="仿宋_GB2312"/>
          <w:color w:val="auto"/>
          <w:spacing w:val="-6"/>
          <w:kern w:val="2"/>
          <w:sz w:val="32"/>
          <w:szCs w:val="24"/>
          <w:lang w:eastAsia="zh-CN"/>
        </w:rPr>
        <w:t>里溪二队</w:t>
      </w:r>
      <w:r>
        <w:rPr>
          <w:rFonts w:hint="eastAsia" w:ascii="仿宋_GB2312" w:hAnsi="仿宋_GB2312" w:eastAsia="仿宋_GB2312" w:cs="仿宋_GB2312"/>
          <w:color w:val="auto"/>
          <w:spacing w:val="-6"/>
          <w:sz w:val="32"/>
          <w:lang w:val="en-US" w:eastAsia="zh-CN"/>
        </w:rPr>
        <w:t>100%返租物业，自签订土地出让合同18个月内移交返建物业，自移交返建物业起计算返租年期及租金，返租期为10年，租金为12元/平方米/月，每5年递增10%（具体数额以补偿协议数据为准）。</w:t>
      </w:r>
      <w:r>
        <w:rPr>
          <w:rFonts w:hint="eastAsia" w:ascii="仿宋_GB2312" w:hAnsi="仿宋_GB2312" w:eastAsia="仿宋_GB2312" w:cs="仿宋_GB2312"/>
          <w:b w:val="0"/>
          <w:bCs w:val="0"/>
          <w:strike w:val="0"/>
          <w:color w:val="auto"/>
          <w:spacing w:val="-6"/>
          <w:kern w:val="2"/>
          <w:sz w:val="32"/>
          <w:szCs w:val="24"/>
          <w:highlight w:val="none"/>
          <w:lang w:val="en-US" w:eastAsia="zh-CN"/>
        </w:rPr>
        <w:t>上述补偿的工业厂房须办理不动产权证至中山市板芙镇</w:t>
      </w:r>
      <w:r>
        <w:rPr>
          <w:rFonts w:hint="eastAsia" w:ascii="仿宋_GB2312" w:hAnsi="仿宋_GB2312" w:eastAsia="仿宋_GB2312" w:cs="仿宋_GB2312"/>
          <w:strike w:val="0"/>
          <w:color w:val="auto"/>
          <w:spacing w:val="-6"/>
          <w:kern w:val="2"/>
          <w:sz w:val="32"/>
          <w:szCs w:val="24"/>
          <w:highlight w:val="none"/>
          <w:lang w:eastAsia="zh-CN"/>
        </w:rPr>
        <w:t>里溪村第二经济合作社</w:t>
      </w:r>
      <w:r>
        <w:rPr>
          <w:rFonts w:hint="eastAsia" w:ascii="仿宋_GB2312" w:hAnsi="仿宋_GB2312" w:eastAsia="仿宋_GB2312" w:cs="仿宋_GB2312"/>
          <w:b w:val="0"/>
          <w:bCs w:val="0"/>
          <w:strike w:val="0"/>
          <w:color w:val="auto"/>
          <w:spacing w:val="-6"/>
          <w:kern w:val="2"/>
          <w:sz w:val="32"/>
          <w:szCs w:val="24"/>
          <w:highlight w:val="none"/>
          <w:lang w:val="en-US" w:eastAsia="zh-CN"/>
        </w:rPr>
        <w:t>，产权转移产生的费用由改造主体承担。</w:t>
      </w:r>
    </w:p>
    <w:p>
      <w:pPr>
        <w:numPr>
          <w:ilvl w:val="0"/>
          <w:numId w:val="0"/>
        </w:numPr>
        <w:spacing w:line="574" w:lineRule="exact"/>
        <w:ind w:firstLine="616" w:firstLineChars="200"/>
        <w:rPr>
          <w:rFonts w:hint="eastAsia" w:ascii="仿宋_GB2312" w:hAnsi="仿宋_GB2312" w:eastAsia="仿宋_GB2312" w:cs="仿宋_GB2312"/>
          <w:color w:val="auto"/>
          <w:spacing w:val="-6"/>
          <w:sz w:val="32"/>
          <w:lang w:val="en-US" w:eastAsia="zh-CN"/>
        </w:rPr>
      </w:pPr>
      <w:r>
        <w:rPr>
          <w:rFonts w:hint="eastAsia" w:ascii="仿宋_GB2312" w:hAnsi="仿宋_GB2312" w:eastAsia="仿宋_GB2312" w:cs="仿宋_GB2312"/>
          <w:color w:val="auto"/>
          <w:spacing w:val="-6"/>
          <w:sz w:val="32"/>
          <w:lang w:val="en-US" w:eastAsia="zh-CN"/>
        </w:rPr>
        <w:t>2.集体用地部分采取货币补偿实施征收，所有权征收综合补偿标准为16.63万元/亩，折合121.4638万元；使用权按28万元/亩实施征收，折合204.5092万元；所有权和使用权征收补偿合计为325.973万元。</w:t>
      </w:r>
    </w:p>
    <w:p>
      <w:pPr>
        <w:spacing w:line="500" w:lineRule="exact"/>
        <w:ind w:firstLine="616" w:firstLineChars="200"/>
        <w:rPr>
          <w:rFonts w:hint="eastAsia" w:ascii="楷体" w:hAnsi="楷体" w:eastAsia="楷体" w:cs="楷体"/>
          <w:color w:val="auto"/>
          <w:spacing w:val="-6"/>
          <w:kern w:val="0"/>
          <w:sz w:val="32"/>
          <w:szCs w:val="32"/>
        </w:rPr>
      </w:pPr>
      <w:r>
        <w:rPr>
          <w:rFonts w:hint="eastAsia" w:ascii="楷体" w:hAnsi="楷体" w:eastAsia="楷体" w:cs="楷体"/>
          <w:color w:val="auto"/>
          <w:spacing w:val="-6"/>
          <w:kern w:val="0"/>
          <w:sz w:val="32"/>
          <w:szCs w:val="32"/>
        </w:rPr>
        <w:t>（三）开展社会稳定风险评估情况</w:t>
      </w:r>
    </w:p>
    <w:p>
      <w:pPr>
        <w:spacing w:line="574" w:lineRule="exact"/>
        <w:ind w:firstLine="616" w:firstLineChars="200"/>
        <w:rPr>
          <w:rFonts w:hint="eastAsia" w:ascii="仿宋_GB2312" w:hAnsi="仿宋_GB2312" w:eastAsia="仿宋_GB2312" w:cs="仿宋_GB2312"/>
          <w:color w:val="auto"/>
          <w:spacing w:val="-6"/>
          <w:kern w:val="0"/>
          <w:sz w:val="32"/>
          <w:szCs w:val="32"/>
          <w:lang w:val="en-US"/>
        </w:rPr>
      </w:pPr>
      <w:r>
        <w:rPr>
          <w:rFonts w:hint="eastAsia" w:ascii="仿宋_GB2312" w:hAnsi="仿宋_GB2312" w:eastAsia="仿宋_GB2312" w:cs="仿宋_GB2312"/>
          <w:color w:val="auto"/>
          <w:spacing w:val="-6"/>
          <w:kern w:val="0"/>
          <w:sz w:val="32"/>
          <w:szCs w:val="32"/>
          <w:highlight w:val="none"/>
          <w:lang w:val="en-US" w:eastAsia="zh-CN"/>
        </w:rPr>
        <w:t>涉及征收的</w:t>
      </w:r>
      <w:r>
        <w:rPr>
          <w:rFonts w:hint="eastAsia" w:ascii="仿宋_GB2312" w:hAnsi="仿宋_GB2312" w:eastAsia="仿宋_GB2312" w:cs="仿宋_GB2312"/>
          <w:color w:val="auto"/>
          <w:spacing w:val="-6"/>
          <w:kern w:val="2"/>
          <w:sz w:val="32"/>
          <w:szCs w:val="32"/>
          <w:lang w:val="en-US" w:eastAsia="zh-CN"/>
        </w:rPr>
        <w:t>0.3087公顷（3087.10平方米，折合4.63亩）</w:t>
      </w:r>
      <w:r>
        <w:rPr>
          <w:rFonts w:hint="eastAsia" w:ascii="仿宋_GB2312" w:hAnsi="仿宋_GB2312" w:eastAsia="仿宋_GB2312" w:cs="仿宋_GB2312"/>
          <w:color w:val="auto"/>
          <w:spacing w:val="-6"/>
          <w:kern w:val="0"/>
          <w:sz w:val="32"/>
          <w:szCs w:val="32"/>
          <w:highlight w:val="none"/>
          <w:lang w:val="en-US" w:eastAsia="zh-CN"/>
        </w:rPr>
        <w:t>集体用地</w:t>
      </w:r>
      <w:r>
        <w:rPr>
          <w:rFonts w:hint="eastAsia" w:ascii="仿宋_GB2312" w:hAnsi="仿宋_GB2312" w:eastAsia="仿宋_GB2312" w:cs="仿宋_GB2312"/>
          <w:color w:val="auto"/>
          <w:spacing w:val="-6"/>
          <w:kern w:val="0"/>
          <w:sz w:val="32"/>
          <w:szCs w:val="32"/>
          <w:highlight w:val="none"/>
        </w:rPr>
        <w:t>，已按规定开展社会稳定风险评估。根据社会稳定风险评估结果，本改造项目风险等级为低风险，主要存在决策程序风险、项目范围变动风险、补偿发放风险、物业补偿落实风险、环境破坏风险、周边敏感点风险、社会负面舆论风险与社会冲突风险</w:t>
      </w:r>
      <w:r>
        <w:rPr>
          <w:rFonts w:hint="eastAsia" w:ascii="仿宋_GB2312" w:hAnsi="仿宋_GB2312" w:eastAsia="仿宋_GB2312" w:cs="仿宋_GB2312"/>
          <w:color w:val="auto"/>
          <w:spacing w:val="-6"/>
          <w:kern w:val="0"/>
          <w:sz w:val="32"/>
          <w:szCs w:val="32"/>
          <w:highlight w:val="none"/>
          <w:lang w:eastAsia="zh-CN"/>
        </w:rPr>
        <w:t>等</w:t>
      </w:r>
      <w:r>
        <w:rPr>
          <w:rFonts w:hint="eastAsia" w:ascii="仿宋_GB2312" w:hAnsi="仿宋_GB2312" w:eastAsia="仿宋_GB2312" w:cs="仿宋_GB2312"/>
          <w:color w:val="auto"/>
          <w:spacing w:val="-6"/>
          <w:kern w:val="0"/>
          <w:sz w:val="32"/>
          <w:szCs w:val="32"/>
          <w:highlight w:val="none"/>
          <w:lang w:val="en-US" w:eastAsia="zh-CN"/>
        </w:rPr>
        <w:t>8个</w:t>
      </w:r>
      <w:r>
        <w:rPr>
          <w:rFonts w:hint="eastAsia" w:ascii="仿宋_GB2312" w:hAnsi="仿宋_GB2312" w:eastAsia="仿宋_GB2312" w:cs="仿宋_GB2312"/>
          <w:color w:val="auto"/>
          <w:spacing w:val="-6"/>
          <w:kern w:val="0"/>
          <w:sz w:val="32"/>
          <w:szCs w:val="32"/>
          <w:highlight w:val="none"/>
          <w:lang w:eastAsia="zh-CN"/>
        </w:rPr>
        <w:t>风险，风险防范、化解措施及责任主体详见《</w:t>
      </w:r>
      <w:r>
        <w:rPr>
          <w:rFonts w:hint="eastAsia" w:ascii="仿宋_GB2312" w:hAnsi="仿宋_GB2312" w:eastAsia="仿宋_GB2312" w:cs="仿宋_GB2312"/>
          <w:color w:val="auto"/>
          <w:spacing w:val="-6"/>
          <w:kern w:val="0"/>
          <w:sz w:val="32"/>
          <w:szCs w:val="32"/>
          <w:highlight w:val="none"/>
          <w:lang w:val="en-US" w:eastAsia="zh-CN"/>
        </w:rPr>
        <w:t>板芙镇里溪村第二经济合作社低效工业用地项目社会稳定风险评估报告</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w:t>
      </w:r>
    </w:p>
    <w:p>
      <w:pPr>
        <w:spacing w:line="574" w:lineRule="exact"/>
        <w:ind w:firstLine="616" w:firstLineChars="200"/>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三、改造主体、办理用地手续</w:t>
      </w:r>
      <w:r>
        <w:rPr>
          <w:rFonts w:hint="eastAsia" w:ascii="黑体" w:hAnsi="黑体" w:eastAsia="黑体" w:cs="黑体"/>
          <w:color w:val="auto"/>
          <w:spacing w:val="-6"/>
          <w:kern w:val="0"/>
          <w:sz w:val="32"/>
          <w:szCs w:val="32"/>
          <w:lang w:eastAsia="zh-CN"/>
        </w:rPr>
        <w:t>、土地供应</w:t>
      </w:r>
      <w:r>
        <w:rPr>
          <w:rFonts w:hint="eastAsia" w:ascii="黑体" w:hAnsi="黑体" w:eastAsia="黑体" w:cs="黑体"/>
          <w:color w:val="auto"/>
          <w:spacing w:val="-6"/>
          <w:kern w:val="0"/>
          <w:sz w:val="32"/>
          <w:szCs w:val="32"/>
        </w:rPr>
        <w:t>及拟改造情况</w:t>
      </w:r>
    </w:p>
    <w:p>
      <w:pPr>
        <w:spacing w:line="574" w:lineRule="exact"/>
        <w:ind w:firstLine="616" w:firstLineChars="200"/>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rPr>
        <w:t>根据有关规划要求，改造项目严格按照国土空间总体规划、</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rPr>
        <w:t>中山市板芙镇工业用地规划条件论证报告》（中府函〔2022〕237号）管控要求实施建设。</w:t>
      </w:r>
      <w:r>
        <w:rPr>
          <w:rFonts w:hint="eastAsia" w:ascii="仿宋_GB2312" w:hAnsi="仿宋_GB2312" w:eastAsia="仿宋_GB2312" w:cs="仿宋_GB2312"/>
          <w:color w:val="auto"/>
          <w:spacing w:val="-6"/>
          <w:kern w:val="0"/>
          <w:sz w:val="32"/>
          <w:szCs w:val="32"/>
          <w:lang w:eastAsia="zh-CN"/>
        </w:rPr>
        <w:t>在规划中属非建设用地部分，按照非建设用地进行管控；在控规中属道路、防护绿地的公益性用地部分，日后由属地政府按规划开发建设。</w:t>
      </w:r>
    </w:p>
    <w:p>
      <w:pPr>
        <w:spacing w:line="574" w:lineRule="exact"/>
        <w:ind w:firstLine="616"/>
        <w:rPr>
          <w:rFonts w:ascii="楷体" w:hAnsi="楷体" w:eastAsia="楷体" w:cs="楷体"/>
          <w:color w:val="auto"/>
          <w:spacing w:val="-6"/>
          <w:kern w:val="0"/>
          <w:sz w:val="32"/>
          <w:szCs w:val="32"/>
        </w:rPr>
      </w:pPr>
      <w:r>
        <w:rPr>
          <w:rFonts w:hint="eastAsia" w:ascii="楷体" w:hAnsi="楷体" w:eastAsia="楷体" w:cs="楷体"/>
          <w:color w:val="auto"/>
          <w:spacing w:val="-6"/>
          <w:kern w:val="0"/>
          <w:sz w:val="32"/>
          <w:szCs w:val="32"/>
        </w:rPr>
        <w:t>（一）改造主体</w:t>
      </w:r>
    </w:p>
    <w:p>
      <w:pPr>
        <w:spacing w:line="574" w:lineRule="exact"/>
        <w:ind w:firstLine="616" w:firstLineChars="200"/>
        <w:rPr>
          <w:rFonts w:hint="eastAsia" w:ascii="仿宋_GB2312" w:hAnsi="仿宋_GB2312" w:eastAsia="仿宋_GB2312" w:cs="仿宋_GB2312"/>
          <w:color w:val="auto"/>
          <w:spacing w:val="-6"/>
          <w:sz w:val="32"/>
        </w:rPr>
      </w:pPr>
      <w:r>
        <w:rPr>
          <w:rFonts w:hint="eastAsia" w:ascii="仿宋_GB2312" w:hAnsi="仿宋_GB2312" w:eastAsia="仿宋_GB2312" w:cs="仿宋_GB2312"/>
          <w:color w:val="auto"/>
          <w:spacing w:val="-6"/>
          <w:sz w:val="32"/>
        </w:rPr>
        <w:t>该改造项目属</w:t>
      </w:r>
      <w:r>
        <w:rPr>
          <w:rFonts w:hint="eastAsia" w:ascii="仿宋_GB2312" w:hAnsi="仿宋_GB2312" w:eastAsia="仿宋_GB2312" w:cs="仿宋_GB2312"/>
          <w:color w:val="auto"/>
          <w:spacing w:val="-6"/>
          <w:sz w:val="32"/>
          <w:lang w:eastAsia="zh-CN"/>
        </w:rPr>
        <w:t>“</w:t>
      </w:r>
      <w:r>
        <w:rPr>
          <w:rFonts w:hint="eastAsia" w:ascii="仿宋_GB2312" w:hAnsi="仿宋_GB2312" w:eastAsia="仿宋_GB2312" w:cs="仿宋_GB2312"/>
          <w:color w:val="auto"/>
          <w:spacing w:val="-6"/>
          <w:sz w:val="32"/>
        </w:rPr>
        <w:t>工改工</w:t>
      </w:r>
      <w:r>
        <w:rPr>
          <w:rFonts w:hint="eastAsia" w:ascii="仿宋_GB2312" w:hAnsi="仿宋_GB2312" w:eastAsia="仿宋_GB2312" w:cs="仿宋_GB2312"/>
          <w:color w:val="auto"/>
          <w:spacing w:val="-6"/>
          <w:sz w:val="32"/>
          <w:lang w:eastAsia="zh-CN"/>
        </w:rPr>
        <w:t>”</w:t>
      </w:r>
      <w:r>
        <w:rPr>
          <w:rFonts w:hint="eastAsia" w:ascii="仿宋_GB2312" w:hAnsi="仿宋_GB2312" w:eastAsia="仿宋_GB2312" w:cs="仿宋_GB2312"/>
          <w:color w:val="auto"/>
          <w:spacing w:val="-6"/>
          <w:sz w:val="32"/>
        </w:rPr>
        <w:t>宗地项目，拟采取政府</w:t>
      </w:r>
      <w:r>
        <w:rPr>
          <w:rFonts w:hint="eastAsia" w:ascii="仿宋_GB2312" w:hAnsi="仿宋_GB2312" w:eastAsia="仿宋_GB2312" w:cs="仿宋_GB2312"/>
          <w:color w:val="auto"/>
          <w:spacing w:val="-6"/>
          <w:sz w:val="32"/>
          <w:lang w:eastAsia="zh-CN"/>
        </w:rPr>
        <w:t>整备（</w:t>
      </w:r>
      <w:r>
        <w:rPr>
          <w:rFonts w:hint="eastAsia" w:ascii="仿宋_GB2312" w:hAnsi="仿宋_GB2312" w:eastAsia="仿宋_GB2312" w:cs="仿宋_GB2312"/>
          <w:color w:val="auto"/>
          <w:spacing w:val="-6"/>
          <w:sz w:val="32"/>
        </w:rPr>
        <w:t>收储</w:t>
      </w:r>
      <w:r>
        <w:rPr>
          <w:rFonts w:hint="eastAsia" w:ascii="仿宋_GB2312" w:hAnsi="仿宋_GB2312" w:eastAsia="仿宋_GB2312" w:cs="仿宋_GB2312"/>
          <w:color w:val="auto"/>
          <w:spacing w:val="-6"/>
          <w:sz w:val="32"/>
          <w:lang w:eastAsia="zh-CN"/>
        </w:rPr>
        <w:t>）改造</w:t>
      </w:r>
      <w:r>
        <w:rPr>
          <w:rFonts w:hint="eastAsia" w:ascii="仿宋_GB2312" w:hAnsi="仿宋_GB2312" w:eastAsia="仿宋_GB2312" w:cs="仿宋_GB2312"/>
          <w:color w:val="auto"/>
          <w:spacing w:val="-6"/>
          <w:sz w:val="32"/>
        </w:rPr>
        <w:t>方式</w:t>
      </w:r>
      <w:r>
        <w:rPr>
          <w:rFonts w:hint="eastAsia" w:ascii="仿宋_GB2312" w:hAnsi="仿宋_GB2312" w:eastAsia="仿宋_GB2312" w:cs="仿宋_GB2312"/>
          <w:color w:val="auto"/>
          <w:spacing w:val="-6"/>
          <w:sz w:val="32"/>
          <w:lang w:eastAsia="zh-CN"/>
        </w:rPr>
        <w:t>，</w:t>
      </w:r>
      <w:r>
        <w:rPr>
          <w:rFonts w:hint="eastAsia" w:ascii="仿宋_GB2312" w:hAnsi="仿宋_GB2312" w:eastAsia="仿宋_GB2312" w:cs="仿宋_GB2312"/>
          <w:color w:val="auto"/>
          <w:spacing w:val="-6"/>
          <w:sz w:val="32"/>
        </w:rPr>
        <w:t>由板芙镇人民政府</w:t>
      </w:r>
      <w:r>
        <w:rPr>
          <w:rFonts w:hint="eastAsia" w:ascii="仿宋_GB2312" w:hAnsi="仿宋_GB2312" w:eastAsia="仿宋_GB2312" w:cs="仿宋_GB2312"/>
          <w:color w:val="auto"/>
          <w:spacing w:val="-6"/>
          <w:sz w:val="32"/>
          <w:lang w:val="en-US" w:eastAsia="zh-CN"/>
        </w:rPr>
        <w:t>实施集体土地所有权和使用权征收后转为国有建设用地，联合现有国有建设用地</w:t>
      </w:r>
      <w:r>
        <w:rPr>
          <w:rFonts w:hint="eastAsia" w:ascii="仿宋_GB2312" w:hAnsi="仿宋_GB2312" w:eastAsia="仿宋_GB2312" w:cs="仿宋_GB2312"/>
          <w:color w:val="auto"/>
          <w:spacing w:val="-6"/>
          <w:sz w:val="32"/>
          <w:szCs w:val="24"/>
          <w:highlight w:val="none"/>
          <w:lang w:eastAsia="zh-CN"/>
        </w:rPr>
        <w:t>收储后，</w:t>
      </w:r>
      <w:r>
        <w:rPr>
          <w:rFonts w:hint="eastAsia" w:ascii="仿宋_GB2312" w:hAnsi="仿宋_GB2312" w:eastAsia="仿宋_GB2312" w:cs="仿宋_GB2312"/>
          <w:color w:val="auto"/>
          <w:spacing w:val="-6"/>
          <w:sz w:val="32"/>
        </w:rPr>
        <w:t>通过公开</w:t>
      </w:r>
      <w:r>
        <w:rPr>
          <w:rFonts w:hint="eastAsia" w:ascii="仿宋_GB2312" w:hAnsi="仿宋_GB2312" w:eastAsia="仿宋_GB2312" w:cs="仿宋_GB2312"/>
          <w:color w:val="auto"/>
          <w:spacing w:val="-6"/>
          <w:sz w:val="32"/>
          <w:lang w:val="en-US" w:eastAsia="zh-CN"/>
        </w:rPr>
        <w:t>出让</w:t>
      </w:r>
      <w:r>
        <w:rPr>
          <w:rFonts w:hint="eastAsia" w:ascii="仿宋_GB2312" w:hAnsi="仿宋_GB2312" w:eastAsia="仿宋_GB2312" w:cs="仿宋_GB2312"/>
          <w:color w:val="auto"/>
          <w:spacing w:val="-6"/>
          <w:sz w:val="32"/>
        </w:rPr>
        <w:t>方式确定改造主体实施全面改造。</w:t>
      </w:r>
    </w:p>
    <w:p>
      <w:pPr>
        <w:numPr>
          <w:ilvl w:val="0"/>
          <w:numId w:val="0"/>
        </w:numPr>
        <w:spacing w:line="574" w:lineRule="exact"/>
        <w:ind w:left="600" w:leftChars="0" w:firstLine="0" w:firstLineChars="0"/>
        <w:outlineLvl w:val="2"/>
        <w:rPr>
          <w:rFonts w:hint="eastAsia" w:ascii="楷体" w:hAnsi="楷体" w:eastAsia="楷体" w:cs="楷体"/>
          <w:color w:val="auto"/>
          <w:spacing w:val="-6"/>
          <w:kern w:val="0"/>
          <w:sz w:val="32"/>
          <w:szCs w:val="32"/>
        </w:rPr>
      </w:pPr>
      <w:bookmarkStart w:id="0" w:name="_Toc106128758"/>
      <w:r>
        <w:rPr>
          <w:rFonts w:hint="eastAsia" w:ascii="楷体" w:hAnsi="楷体" w:eastAsia="楷体" w:cs="楷体"/>
          <w:color w:val="auto"/>
          <w:spacing w:val="-6"/>
          <w:kern w:val="0"/>
          <w:sz w:val="32"/>
          <w:szCs w:val="32"/>
          <w:lang w:eastAsia="zh-CN"/>
        </w:rPr>
        <w:t>（二）</w:t>
      </w:r>
      <w:r>
        <w:rPr>
          <w:rFonts w:hint="eastAsia" w:ascii="楷体" w:hAnsi="楷体" w:eastAsia="楷体" w:cs="楷体"/>
          <w:color w:val="auto"/>
          <w:spacing w:val="-6"/>
          <w:kern w:val="0"/>
          <w:sz w:val="32"/>
          <w:szCs w:val="32"/>
        </w:rPr>
        <w:t>需办理的用地手续</w:t>
      </w:r>
      <w:bookmarkEnd w:id="0"/>
    </w:p>
    <w:p>
      <w:pPr>
        <w:spacing w:line="574" w:lineRule="exact"/>
        <w:ind w:firstLine="616" w:firstLineChars="200"/>
        <w:rPr>
          <w:rFonts w:hint="default" w:ascii="仿宋_GB2312" w:hAnsi="仿宋_GB2312" w:eastAsia="仿宋_GB2312" w:cs="仿宋_GB2312"/>
          <w:color w:val="auto"/>
          <w:spacing w:val="-6"/>
          <w:sz w:val="32"/>
          <w:szCs w:val="24"/>
          <w:highlight w:val="none"/>
          <w:lang w:val="en-US" w:eastAsia="zh-CN"/>
        </w:rPr>
      </w:pPr>
      <w:r>
        <w:rPr>
          <w:rFonts w:hint="eastAsia" w:ascii="仿宋_GB2312" w:hAnsi="仿宋_GB2312" w:eastAsia="仿宋_GB2312" w:cs="仿宋_GB2312"/>
          <w:color w:val="auto"/>
          <w:spacing w:val="-6"/>
          <w:sz w:val="32"/>
          <w:szCs w:val="24"/>
          <w:highlight w:val="none"/>
          <w:lang w:val="en-US" w:eastAsia="zh-CN"/>
        </w:rPr>
        <w:t>1.建设用地转用、征收手续</w:t>
      </w:r>
    </w:p>
    <w:p>
      <w:pPr>
        <w:spacing w:line="574" w:lineRule="exact"/>
        <w:ind w:firstLine="616" w:firstLineChars="200"/>
        <w:rPr>
          <w:rFonts w:hint="default" w:ascii="仿宋_GB2312" w:hAnsi="仿宋_GB2312" w:eastAsia="仿宋_GB2312" w:cs="仿宋_GB2312"/>
          <w:color w:val="auto"/>
          <w:spacing w:val="-6"/>
          <w:sz w:val="32"/>
          <w:szCs w:val="24"/>
          <w:highlight w:val="yellow"/>
          <w:lang w:val="en-US" w:eastAsia="zh-CN"/>
        </w:rPr>
      </w:pPr>
      <w:r>
        <w:rPr>
          <w:rFonts w:hint="eastAsia" w:ascii="仿宋_GB2312" w:hAnsi="仿宋_GB2312" w:eastAsia="仿宋_GB2312" w:cs="仿宋_GB2312"/>
          <w:color w:val="auto"/>
          <w:spacing w:val="-6"/>
          <w:sz w:val="32"/>
          <w:szCs w:val="24"/>
          <w:highlight w:val="none"/>
          <w:lang w:val="en-US" w:eastAsia="zh-CN"/>
        </w:rPr>
        <w:t>改造范围内地块二0.3087公顷（</w:t>
      </w:r>
      <w:r>
        <w:rPr>
          <w:rFonts w:hint="eastAsia" w:ascii="仿宋_GB2312" w:hAnsi="仿宋_GB2312" w:eastAsia="仿宋_GB2312" w:cs="仿宋_GB2312"/>
          <w:color w:val="auto"/>
          <w:spacing w:val="-6"/>
          <w:kern w:val="0"/>
          <w:sz w:val="32"/>
          <w:szCs w:val="32"/>
          <w:lang w:val="en-US" w:eastAsia="zh-CN"/>
        </w:rPr>
        <w:t>3087.10</w:t>
      </w:r>
      <w:r>
        <w:rPr>
          <w:rFonts w:hint="eastAsia" w:ascii="仿宋_GB2312" w:hAnsi="仿宋_GB2312" w:eastAsia="仿宋_GB2312" w:cs="仿宋_GB2312"/>
          <w:color w:val="auto"/>
          <w:spacing w:val="-6"/>
          <w:kern w:val="0"/>
          <w:sz w:val="32"/>
          <w:szCs w:val="32"/>
          <w:lang w:eastAsia="zh-CN"/>
        </w:rPr>
        <w:t>平方米，折合</w:t>
      </w:r>
      <w:r>
        <w:rPr>
          <w:rFonts w:hint="eastAsia" w:ascii="仿宋_GB2312" w:hAnsi="仿宋_GB2312" w:eastAsia="仿宋_GB2312" w:cs="仿宋_GB2312"/>
          <w:color w:val="auto"/>
          <w:spacing w:val="-6"/>
          <w:kern w:val="0"/>
          <w:sz w:val="32"/>
          <w:szCs w:val="32"/>
          <w:lang w:val="en-US" w:eastAsia="zh-CN"/>
        </w:rPr>
        <w:t>4.63亩），由板芙镇人民政府实施</w:t>
      </w:r>
      <w:r>
        <w:rPr>
          <w:rFonts w:hint="eastAsia" w:ascii="仿宋_GB2312" w:hAnsi="仿宋_GB2312" w:eastAsia="仿宋_GB2312" w:cs="仿宋_GB2312"/>
          <w:color w:val="auto"/>
          <w:spacing w:val="-6"/>
          <w:sz w:val="32"/>
          <w:lang w:val="en-US" w:eastAsia="zh-CN"/>
        </w:rPr>
        <w:t>集体所有权和使用权征收后申请转为国有建设用地。</w:t>
      </w:r>
    </w:p>
    <w:p>
      <w:pPr>
        <w:numPr>
          <w:ilvl w:val="-1"/>
          <w:numId w:val="0"/>
        </w:numPr>
        <w:spacing w:line="574" w:lineRule="exact"/>
        <w:ind w:firstLine="616" w:firstLineChars="200"/>
        <w:rPr>
          <w:rFonts w:hint="eastAsia" w:ascii="仿宋_GB2312" w:hAnsi="仿宋_GB2312" w:eastAsia="仿宋_GB2312" w:cs="仿宋_GB2312"/>
          <w:color w:val="auto"/>
          <w:spacing w:val="-6"/>
          <w:sz w:val="32"/>
          <w:szCs w:val="24"/>
          <w:highlight w:val="none"/>
          <w:lang w:val="en-US" w:eastAsia="zh-CN"/>
        </w:rPr>
      </w:pPr>
      <w:r>
        <w:rPr>
          <w:rFonts w:hint="eastAsia" w:ascii="仿宋_GB2312" w:hAnsi="仿宋_GB2312" w:eastAsia="仿宋_GB2312" w:cs="仿宋_GB2312"/>
          <w:color w:val="auto"/>
          <w:spacing w:val="-6"/>
          <w:sz w:val="32"/>
          <w:szCs w:val="24"/>
          <w:highlight w:val="none"/>
          <w:lang w:val="en-US" w:eastAsia="zh-CN"/>
        </w:rPr>
        <w:t>2.土地收储</w:t>
      </w:r>
    </w:p>
    <w:p>
      <w:pPr>
        <w:numPr>
          <w:ilvl w:val="-1"/>
          <w:numId w:val="0"/>
        </w:numPr>
        <w:spacing w:line="574" w:lineRule="exact"/>
        <w:ind w:firstLine="616" w:firstLineChars="200"/>
        <w:rPr>
          <w:rFonts w:hint="eastAsia" w:ascii="仿宋_GB2312" w:hAnsi="仿宋_GB2312" w:eastAsia="仿宋_GB2312" w:cs="仿宋_GB2312"/>
          <w:color w:val="auto"/>
          <w:spacing w:val="-6"/>
          <w:sz w:val="32"/>
          <w:highlight w:val="none"/>
          <w:lang w:eastAsia="zh-CN"/>
        </w:rPr>
      </w:pPr>
      <w:r>
        <w:rPr>
          <w:rFonts w:hint="eastAsia" w:ascii="仿宋_GB2312" w:hAnsi="仿宋_GB2312" w:eastAsia="仿宋_GB2312" w:cs="仿宋_GB2312"/>
          <w:color w:val="auto"/>
          <w:spacing w:val="-6"/>
          <w:sz w:val="32"/>
          <w:szCs w:val="24"/>
          <w:highlight w:val="none"/>
          <w:lang w:eastAsia="zh-CN"/>
        </w:rPr>
        <w:t>地块一</w:t>
      </w:r>
      <w:r>
        <w:rPr>
          <w:rFonts w:hint="eastAsia" w:ascii="仿宋_GB2312" w:hAnsi="仿宋_GB2312" w:eastAsia="仿宋_GB2312" w:cs="仿宋_GB2312"/>
          <w:color w:val="auto"/>
          <w:spacing w:val="-6"/>
          <w:sz w:val="32"/>
          <w:szCs w:val="32"/>
          <w:lang w:val="en-US" w:eastAsia="zh-CN"/>
        </w:rPr>
        <w:t>1.3666公顷（13665.60</w:t>
      </w:r>
      <w:r>
        <w:rPr>
          <w:rFonts w:hint="eastAsia" w:ascii="仿宋_GB2312" w:hAnsi="仿宋_GB2312" w:eastAsia="仿宋_GB2312" w:cs="仿宋_GB2312"/>
          <w:color w:val="auto"/>
          <w:spacing w:val="-6"/>
          <w:sz w:val="32"/>
          <w:szCs w:val="32"/>
        </w:rPr>
        <w:t>平方米，折合约</w:t>
      </w:r>
      <w:r>
        <w:rPr>
          <w:rFonts w:hint="eastAsia" w:ascii="仿宋_GB2312" w:hAnsi="仿宋_GB2312" w:eastAsia="仿宋_GB2312" w:cs="仿宋_GB2312"/>
          <w:color w:val="auto"/>
          <w:spacing w:val="-6"/>
          <w:sz w:val="32"/>
          <w:szCs w:val="32"/>
          <w:lang w:val="en-US" w:eastAsia="zh-CN"/>
        </w:rPr>
        <w:t>20.50</w:t>
      </w:r>
      <w:r>
        <w:rPr>
          <w:rFonts w:hint="eastAsia" w:ascii="仿宋_GB2312" w:hAnsi="仿宋_GB2312" w:eastAsia="仿宋_GB2312" w:cs="仿宋_GB2312"/>
          <w:color w:val="auto"/>
          <w:spacing w:val="-6"/>
          <w:sz w:val="32"/>
          <w:szCs w:val="32"/>
        </w:rPr>
        <w:t>亩</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24"/>
          <w:highlight w:val="none"/>
          <w:lang w:eastAsia="zh-CN"/>
        </w:rPr>
        <w:t>由板芙镇人民政府按规定与里溪二队签订收回国有用地协议，收回国有土地使用权</w:t>
      </w:r>
      <w:r>
        <w:rPr>
          <w:rFonts w:hint="eastAsia" w:ascii="仿宋_GB2312" w:hAnsi="仿宋_GB2312" w:eastAsia="仿宋_GB2312" w:cs="仿宋_GB2312"/>
          <w:color w:val="auto"/>
          <w:spacing w:val="-6"/>
          <w:sz w:val="32"/>
          <w:highlight w:val="none"/>
          <w:lang w:eastAsia="zh-CN"/>
        </w:rPr>
        <w:t>。</w:t>
      </w:r>
    </w:p>
    <w:p>
      <w:pPr>
        <w:numPr>
          <w:ilvl w:val="0"/>
          <w:numId w:val="1"/>
        </w:numPr>
        <w:spacing w:line="574" w:lineRule="exact"/>
        <w:ind w:left="0" w:leftChars="0" w:firstLine="616" w:firstLineChars="200"/>
        <w:outlineLvl w:val="2"/>
        <w:rPr>
          <w:rFonts w:hint="eastAsia" w:ascii="楷体" w:hAnsi="楷体" w:eastAsia="楷体" w:cs="楷体"/>
          <w:color w:val="auto"/>
          <w:spacing w:val="-6"/>
          <w:kern w:val="0"/>
          <w:sz w:val="32"/>
          <w:szCs w:val="32"/>
          <w:lang w:eastAsia="zh-CN"/>
        </w:rPr>
      </w:pPr>
      <w:r>
        <w:rPr>
          <w:rFonts w:hint="eastAsia" w:ascii="楷体" w:hAnsi="楷体" w:eastAsia="楷体" w:cs="楷体"/>
          <w:color w:val="auto"/>
          <w:spacing w:val="-6"/>
          <w:kern w:val="0"/>
          <w:sz w:val="32"/>
          <w:szCs w:val="32"/>
          <w:lang w:eastAsia="zh-CN"/>
        </w:rPr>
        <w:t>土地供应</w:t>
      </w:r>
    </w:p>
    <w:p>
      <w:pPr>
        <w:numPr>
          <w:ilvl w:val="0"/>
          <w:numId w:val="0"/>
        </w:numPr>
        <w:spacing w:line="574" w:lineRule="exact"/>
        <w:ind w:firstLine="616" w:firstLineChars="200"/>
        <w:outlineLvl w:val="2"/>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改造地块全部交由政府整备（收储）后，由板芙镇人民政府根据《中山市板芙镇工业用地规划条件论证报告》（中府函〔2022〕237 号）进行土地供应，土地供应情况如下：</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lang w:eastAsia="zh-CN"/>
        </w:rPr>
      </w:pPr>
      <w:r>
        <w:rPr>
          <w:rFonts w:hint="eastAsia" w:ascii="仿宋_GB2312" w:hAnsi="仿宋_GB2312" w:eastAsia="仿宋_GB2312" w:cs="仿宋_GB2312"/>
          <w:color w:val="auto"/>
          <w:spacing w:val="-6"/>
          <w:sz w:val="32"/>
          <w:szCs w:val="32"/>
          <w:highlight w:val="none"/>
          <w:lang w:val="en-US" w:eastAsia="zh-CN"/>
        </w:rPr>
        <w:t>改造范围</w:t>
      </w:r>
      <w:r>
        <w:rPr>
          <w:rFonts w:hint="eastAsia" w:ascii="仿宋_GB2312" w:hAnsi="仿宋_GB2312" w:eastAsia="仿宋_GB2312" w:cs="仿宋_GB2312"/>
          <w:color w:val="auto"/>
          <w:spacing w:val="-6"/>
          <w:sz w:val="32"/>
          <w:szCs w:val="32"/>
          <w:lang w:eastAsia="zh-CN"/>
        </w:rPr>
        <w:t>用地</w:t>
      </w:r>
      <w:r>
        <w:rPr>
          <w:rFonts w:hint="eastAsia" w:ascii="仿宋_GB2312" w:hAnsi="仿宋_GB2312" w:eastAsia="仿宋_GB2312" w:cs="仿宋_GB2312"/>
          <w:color w:val="auto"/>
          <w:spacing w:val="-6"/>
          <w:sz w:val="32"/>
          <w:szCs w:val="32"/>
        </w:rPr>
        <w:t>面积</w:t>
      </w:r>
      <w:r>
        <w:rPr>
          <w:rFonts w:hint="eastAsia" w:ascii="仿宋_GB2312" w:hAnsi="仿宋_GB2312" w:eastAsia="仿宋_GB2312" w:cs="仿宋_GB2312"/>
          <w:color w:val="auto"/>
          <w:spacing w:val="-6"/>
          <w:sz w:val="32"/>
          <w:szCs w:val="32"/>
          <w:lang w:val="en-US" w:eastAsia="zh-CN"/>
        </w:rPr>
        <w:t>1.6753公顷（16752.70平方米，折合约25.13亩）</w:t>
      </w:r>
      <w:r>
        <w:rPr>
          <w:rFonts w:hint="eastAsia" w:ascii="仿宋_GB2312" w:hAnsi="仿宋_GB2312" w:eastAsia="仿宋_GB2312" w:cs="仿宋_GB2312"/>
          <w:color w:val="auto"/>
          <w:spacing w:val="-6"/>
          <w:sz w:val="32"/>
          <w:szCs w:val="32"/>
          <w:highlight w:val="none"/>
          <w:lang w:val="en-US" w:eastAsia="zh-CN"/>
        </w:rPr>
        <w:t>中规划为一类工业用地的</w:t>
      </w:r>
      <w:r>
        <w:rPr>
          <w:rFonts w:hint="eastAsia" w:ascii="仿宋_GB2312" w:hAnsi="仿宋_GB2312" w:eastAsia="仿宋_GB2312" w:cs="仿宋_GB2312"/>
          <w:color w:val="auto"/>
          <w:spacing w:val="-6"/>
          <w:kern w:val="0"/>
          <w:sz w:val="32"/>
          <w:szCs w:val="32"/>
          <w:lang w:val="en-US" w:eastAsia="zh-CN"/>
        </w:rPr>
        <w:t>1.5139</w:t>
      </w:r>
      <w:r>
        <w:rPr>
          <w:rFonts w:hint="eastAsia" w:ascii="仿宋_GB2312" w:hAnsi="仿宋_GB2312" w:eastAsia="仿宋_GB2312" w:cs="仿宋_GB2312"/>
          <w:color w:val="auto"/>
          <w:spacing w:val="-6"/>
          <w:kern w:val="0"/>
          <w:sz w:val="32"/>
          <w:szCs w:val="32"/>
        </w:rPr>
        <w:t>公顷（</w:t>
      </w:r>
      <w:r>
        <w:rPr>
          <w:rFonts w:hint="eastAsia" w:ascii="仿宋_GB2312" w:hAnsi="仿宋_GB2312" w:eastAsia="仿宋_GB2312" w:cs="仿宋_GB2312"/>
          <w:color w:val="auto"/>
          <w:spacing w:val="-6"/>
          <w:kern w:val="0"/>
          <w:sz w:val="32"/>
          <w:szCs w:val="32"/>
          <w:lang w:val="en-US" w:eastAsia="zh-CN"/>
        </w:rPr>
        <w:t>15138.83</w:t>
      </w:r>
      <w:r>
        <w:rPr>
          <w:rFonts w:hint="eastAsia" w:ascii="仿宋_GB2312" w:hAnsi="仿宋_GB2312" w:eastAsia="仿宋_GB2312" w:cs="仿宋_GB2312"/>
          <w:color w:val="auto"/>
          <w:spacing w:val="-6"/>
          <w:kern w:val="0"/>
          <w:sz w:val="32"/>
          <w:szCs w:val="32"/>
        </w:rPr>
        <w:t>平方</w:t>
      </w:r>
      <w:r>
        <w:rPr>
          <w:rFonts w:hint="eastAsia" w:ascii="仿宋_GB2312" w:hAnsi="仿宋_GB2312" w:eastAsia="仿宋_GB2312" w:cs="仿宋_GB2312"/>
          <w:color w:val="auto"/>
          <w:spacing w:val="-6"/>
          <w:kern w:val="0"/>
          <w:sz w:val="32"/>
          <w:szCs w:val="32"/>
          <w:highlight w:val="none"/>
        </w:rPr>
        <w:t>米，折合约</w:t>
      </w:r>
      <w:r>
        <w:rPr>
          <w:rFonts w:hint="eastAsia" w:ascii="仿宋_GB2312" w:hAnsi="仿宋_GB2312" w:eastAsia="仿宋_GB2312" w:cs="仿宋_GB2312"/>
          <w:color w:val="auto"/>
          <w:spacing w:val="-6"/>
          <w:kern w:val="0"/>
          <w:sz w:val="32"/>
          <w:szCs w:val="32"/>
          <w:highlight w:val="none"/>
          <w:lang w:val="en-US" w:eastAsia="zh-CN"/>
        </w:rPr>
        <w:t>22.71</w:t>
      </w:r>
      <w:r>
        <w:rPr>
          <w:rFonts w:hint="eastAsia" w:ascii="仿宋_GB2312" w:hAnsi="仿宋_GB2312" w:eastAsia="仿宋_GB2312" w:cs="仿宋_GB2312"/>
          <w:color w:val="auto"/>
          <w:spacing w:val="-6"/>
          <w:kern w:val="0"/>
          <w:sz w:val="32"/>
          <w:szCs w:val="32"/>
          <w:highlight w:val="none"/>
        </w:rPr>
        <w:t>亩）</w:t>
      </w:r>
      <w:r>
        <w:rPr>
          <w:rFonts w:hint="eastAsia" w:ascii="仿宋_GB2312" w:hAnsi="仿宋_GB2312" w:eastAsia="仿宋_GB2312" w:cs="仿宋_GB2312"/>
          <w:color w:val="auto"/>
          <w:spacing w:val="-6"/>
          <w:sz w:val="32"/>
          <w:szCs w:val="32"/>
          <w:highlight w:val="none"/>
          <w:lang w:val="en-US" w:eastAsia="zh-CN"/>
        </w:rPr>
        <w:t>由政府整备后联合相邻批文用地（批文名称《关于中山市板芙镇2009年度第三批次城镇建设用地的批复》（粤国土资(建)字[2010]616号））通过公开出让</w:t>
      </w:r>
      <w:r>
        <w:rPr>
          <w:rFonts w:eastAsia="仿宋_GB2312"/>
          <w:color w:val="auto"/>
          <w:spacing w:val="-6"/>
          <w:sz w:val="32"/>
          <w:szCs w:val="32"/>
          <w:highlight w:val="none"/>
        </w:rPr>
        <w:t>供地给改造主体</w:t>
      </w:r>
      <w:r>
        <w:rPr>
          <w:rFonts w:hint="eastAsia" w:ascii="仿宋_GB2312" w:hAnsi="仿宋_GB2312" w:eastAsia="仿宋_GB2312" w:cs="仿宋_GB2312"/>
          <w:color w:val="auto"/>
          <w:spacing w:val="-6"/>
          <w:kern w:val="2"/>
          <w:sz w:val="32"/>
          <w:szCs w:val="24"/>
          <w:highlight w:val="none"/>
          <w:lang w:eastAsia="zh-CN"/>
        </w:rPr>
        <w:t>；</w:t>
      </w:r>
      <w:r>
        <w:rPr>
          <w:rFonts w:hint="eastAsia" w:ascii="仿宋_GB2312" w:hAnsi="仿宋_GB2312" w:eastAsia="仿宋_GB2312" w:cs="仿宋_GB2312"/>
          <w:color w:val="auto"/>
          <w:spacing w:val="-6"/>
          <w:kern w:val="2"/>
          <w:sz w:val="32"/>
          <w:szCs w:val="24"/>
          <w:highlight w:val="none"/>
          <w:lang w:val="en-US" w:eastAsia="zh-CN"/>
        </w:rPr>
        <w:t>规划为公共绿地</w:t>
      </w:r>
      <w:r>
        <w:rPr>
          <w:rFonts w:hint="eastAsia" w:ascii="仿宋_GB2312" w:hAnsi="仿宋_GB2312" w:eastAsia="仿宋_GB2312" w:cs="仿宋_GB2312"/>
          <w:color w:val="auto"/>
          <w:spacing w:val="-6"/>
          <w:kern w:val="0"/>
          <w:sz w:val="32"/>
          <w:szCs w:val="32"/>
          <w:highlight w:val="none"/>
          <w:lang w:val="en-US" w:eastAsia="zh-CN"/>
        </w:rPr>
        <w:t>0.1124</w:t>
      </w:r>
      <w:r>
        <w:rPr>
          <w:rFonts w:hint="eastAsia" w:ascii="仿宋_GB2312" w:hAnsi="仿宋_GB2312" w:eastAsia="仿宋_GB2312" w:cs="仿宋_GB2312"/>
          <w:color w:val="auto"/>
          <w:spacing w:val="-6"/>
          <w:kern w:val="0"/>
          <w:sz w:val="32"/>
          <w:szCs w:val="32"/>
          <w:highlight w:val="none"/>
        </w:rPr>
        <w:t>公顷（</w:t>
      </w:r>
      <w:r>
        <w:rPr>
          <w:rFonts w:hint="eastAsia" w:ascii="仿宋_GB2312" w:hAnsi="仿宋_GB2312" w:eastAsia="仿宋_GB2312" w:cs="仿宋_GB2312"/>
          <w:color w:val="auto"/>
          <w:spacing w:val="-6"/>
          <w:kern w:val="2"/>
          <w:sz w:val="32"/>
          <w:szCs w:val="24"/>
          <w:highlight w:val="none"/>
          <w:lang w:val="en-US" w:eastAsia="zh-CN"/>
        </w:rPr>
        <w:t>1124.27</w:t>
      </w:r>
      <w:r>
        <w:rPr>
          <w:rFonts w:hint="eastAsia" w:ascii="仿宋_GB2312" w:hAnsi="仿宋_GB2312" w:eastAsia="仿宋_GB2312" w:cs="仿宋_GB2312"/>
          <w:color w:val="auto"/>
          <w:spacing w:val="-6"/>
          <w:kern w:val="2"/>
          <w:sz w:val="32"/>
          <w:szCs w:val="24"/>
          <w:highlight w:val="none"/>
          <w:lang w:eastAsia="zh-CN"/>
        </w:rPr>
        <w:t>平方米</w:t>
      </w:r>
      <w:r>
        <w:rPr>
          <w:rFonts w:hint="eastAsia" w:ascii="仿宋_GB2312" w:hAnsi="仿宋_GB2312" w:eastAsia="仿宋_GB2312" w:cs="仿宋_GB2312"/>
          <w:color w:val="auto"/>
          <w:spacing w:val="-6"/>
          <w:kern w:val="0"/>
          <w:sz w:val="32"/>
          <w:szCs w:val="32"/>
          <w:highlight w:val="none"/>
        </w:rPr>
        <w:t>，折合约</w:t>
      </w:r>
      <w:r>
        <w:rPr>
          <w:rFonts w:hint="eastAsia" w:ascii="仿宋_GB2312" w:hAnsi="仿宋_GB2312" w:eastAsia="仿宋_GB2312" w:cs="仿宋_GB2312"/>
          <w:color w:val="auto"/>
          <w:spacing w:val="-6"/>
          <w:kern w:val="0"/>
          <w:sz w:val="32"/>
          <w:szCs w:val="32"/>
          <w:highlight w:val="none"/>
          <w:lang w:val="en-US" w:eastAsia="zh-CN"/>
        </w:rPr>
        <w:t>1.69</w:t>
      </w:r>
      <w:r>
        <w:rPr>
          <w:rFonts w:hint="eastAsia" w:ascii="仿宋_GB2312" w:hAnsi="仿宋_GB2312" w:eastAsia="仿宋_GB2312" w:cs="仿宋_GB2312"/>
          <w:color w:val="auto"/>
          <w:spacing w:val="-6"/>
          <w:kern w:val="0"/>
          <w:sz w:val="32"/>
          <w:szCs w:val="32"/>
          <w:highlight w:val="none"/>
        </w:rPr>
        <w:t>亩）</w:t>
      </w:r>
      <w:r>
        <w:rPr>
          <w:rFonts w:hint="eastAsia" w:ascii="仿宋_GB2312" w:hAnsi="仿宋_GB2312" w:eastAsia="仿宋_GB2312" w:cs="仿宋_GB2312"/>
          <w:color w:val="auto"/>
          <w:spacing w:val="-6"/>
          <w:kern w:val="2"/>
          <w:sz w:val="32"/>
          <w:szCs w:val="24"/>
          <w:highlight w:val="none"/>
          <w:lang w:val="en-US" w:eastAsia="zh-CN"/>
        </w:rPr>
        <w:t>；</w:t>
      </w:r>
      <w:r>
        <w:rPr>
          <w:rFonts w:hint="eastAsia" w:ascii="仿宋_GB2312" w:hAnsi="仿宋_GB2312" w:eastAsia="仿宋_GB2312" w:cs="仿宋_GB2312"/>
          <w:color w:val="auto"/>
          <w:spacing w:val="-6"/>
          <w:kern w:val="2"/>
          <w:sz w:val="32"/>
          <w:szCs w:val="24"/>
          <w:highlight w:val="none"/>
          <w:lang w:eastAsia="zh-CN"/>
        </w:rPr>
        <w:t>规划为</w:t>
      </w:r>
      <w:r>
        <w:rPr>
          <w:rFonts w:hint="eastAsia" w:ascii="仿宋_GB2312" w:hAnsi="仿宋_GB2312" w:eastAsia="仿宋_GB2312" w:cs="仿宋_GB2312"/>
          <w:color w:val="auto"/>
          <w:spacing w:val="-6"/>
          <w:kern w:val="0"/>
          <w:sz w:val="32"/>
          <w:szCs w:val="32"/>
          <w:highlight w:val="none"/>
          <w:lang w:eastAsia="zh-CN"/>
        </w:rPr>
        <w:t>道路用地</w:t>
      </w:r>
      <w:r>
        <w:rPr>
          <w:rFonts w:hint="eastAsia" w:ascii="仿宋_GB2312" w:hAnsi="仿宋_GB2312" w:eastAsia="仿宋_GB2312" w:cs="仿宋_GB2312"/>
          <w:color w:val="auto"/>
          <w:spacing w:val="-6"/>
          <w:kern w:val="0"/>
          <w:sz w:val="32"/>
          <w:szCs w:val="32"/>
          <w:highlight w:val="none"/>
          <w:lang w:val="en-US" w:eastAsia="zh-CN"/>
        </w:rPr>
        <w:t>0.0490</w:t>
      </w:r>
      <w:r>
        <w:rPr>
          <w:rFonts w:hint="eastAsia" w:ascii="仿宋_GB2312" w:hAnsi="仿宋_GB2312" w:eastAsia="仿宋_GB2312" w:cs="仿宋_GB2312"/>
          <w:color w:val="auto"/>
          <w:spacing w:val="-6"/>
          <w:kern w:val="0"/>
          <w:sz w:val="32"/>
          <w:szCs w:val="32"/>
          <w:highlight w:val="none"/>
        </w:rPr>
        <w:t>公顷（</w:t>
      </w:r>
      <w:r>
        <w:rPr>
          <w:rFonts w:hint="eastAsia" w:ascii="仿宋_GB2312" w:hAnsi="仿宋_GB2312" w:eastAsia="仿宋_GB2312" w:cs="仿宋_GB2312"/>
          <w:color w:val="auto"/>
          <w:spacing w:val="-6"/>
          <w:kern w:val="2"/>
          <w:sz w:val="32"/>
          <w:szCs w:val="24"/>
          <w:highlight w:val="none"/>
          <w:lang w:val="en-US" w:eastAsia="zh-CN"/>
        </w:rPr>
        <w:t>489.60</w:t>
      </w:r>
      <w:r>
        <w:rPr>
          <w:rFonts w:hint="eastAsia" w:ascii="仿宋_GB2312" w:hAnsi="仿宋_GB2312" w:eastAsia="仿宋_GB2312" w:cs="仿宋_GB2312"/>
          <w:color w:val="auto"/>
          <w:spacing w:val="-6"/>
          <w:kern w:val="2"/>
          <w:sz w:val="32"/>
          <w:szCs w:val="24"/>
          <w:highlight w:val="none"/>
          <w:lang w:eastAsia="zh-CN"/>
        </w:rPr>
        <w:t>平方米</w:t>
      </w:r>
      <w:r>
        <w:rPr>
          <w:rFonts w:hint="eastAsia" w:ascii="仿宋_GB2312" w:hAnsi="仿宋_GB2312" w:eastAsia="仿宋_GB2312" w:cs="仿宋_GB2312"/>
          <w:color w:val="auto"/>
          <w:spacing w:val="-6"/>
          <w:kern w:val="0"/>
          <w:sz w:val="32"/>
          <w:szCs w:val="32"/>
          <w:highlight w:val="none"/>
        </w:rPr>
        <w:t>，折合约</w:t>
      </w:r>
      <w:r>
        <w:rPr>
          <w:rFonts w:hint="eastAsia" w:ascii="仿宋_GB2312" w:hAnsi="仿宋_GB2312" w:eastAsia="仿宋_GB2312" w:cs="仿宋_GB2312"/>
          <w:color w:val="auto"/>
          <w:spacing w:val="-6"/>
          <w:kern w:val="0"/>
          <w:sz w:val="32"/>
          <w:szCs w:val="32"/>
          <w:highlight w:val="none"/>
          <w:lang w:val="en-US" w:eastAsia="zh-CN"/>
        </w:rPr>
        <w:t>0.73</w:t>
      </w:r>
      <w:r>
        <w:rPr>
          <w:rFonts w:hint="eastAsia" w:ascii="仿宋_GB2312" w:hAnsi="仿宋_GB2312" w:eastAsia="仿宋_GB2312" w:cs="仿宋_GB2312"/>
          <w:color w:val="auto"/>
          <w:spacing w:val="-6"/>
          <w:kern w:val="0"/>
          <w:sz w:val="32"/>
          <w:szCs w:val="32"/>
          <w:highlight w:val="none"/>
        </w:rPr>
        <w:t>亩）</w:t>
      </w:r>
      <w:r>
        <w:rPr>
          <w:rFonts w:hint="eastAsia" w:ascii="仿宋_GB2312" w:hAnsi="仿宋_GB2312" w:eastAsia="仿宋_GB2312" w:cs="仿宋_GB2312"/>
          <w:color w:val="auto"/>
          <w:spacing w:val="-6"/>
          <w:kern w:val="0"/>
          <w:sz w:val="32"/>
          <w:szCs w:val="32"/>
          <w:highlight w:val="none"/>
          <w:lang w:eastAsia="zh-CN"/>
        </w:rPr>
        <w:t>划拨至板芙镇人民政府。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pacing w:val="-6"/>
          <w:kern w:val="2"/>
          <w:sz w:val="32"/>
          <w:szCs w:val="24"/>
          <w:highlight w:val="none"/>
          <w:lang w:eastAsia="zh-CN"/>
        </w:rPr>
      </w:pPr>
      <w:r>
        <w:rPr>
          <w:rFonts w:hint="eastAsia" w:ascii="仿宋_GB2312" w:hAnsi="仿宋_GB2312" w:eastAsia="仿宋_GB2312" w:cs="仿宋_GB2312"/>
          <w:color w:val="auto"/>
          <w:spacing w:val="-6"/>
          <w:kern w:val="2"/>
          <w:sz w:val="32"/>
          <w:szCs w:val="24"/>
          <w:highlight w:val="none"/>
          <w:lang w:eastAsia="zh-CN"/>
        </w:rPr>
        <w:drawing>
          <wp:inline distT="0" distB="0" distL="114300" distR="114300">
            <wp:extent cx="5543550" cy="3251200"/>
            <wp:effectExtent l="0" t="0" r="3810" b="10160"/>
            <wp:docPr id="7" name="图片 7" descr="e12220820ce0a3c0144145a8f03ab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12220820ce0a3c0144145a8f03ab6c"/>
                    <pic:cNvPicPr>
                      <a:picLocks noChangeAspect="1"/>
                    </pic:cNvPicPr>
                  </pic:nvPicPr>
                  <pic:blipFill>
                    <a:blip r:embed="rId6"/>
                    <a:stretch>
                      <a:fillRect/>
                    </a:stretch>
                  </pic:blipFill>
                  <pic:spPr>
                    <a:xfrm>
                      <a:off x="0" y="0"/>
                      <a:ext cx="5543550" cy="3251200"/>
                    </a:xfrm>
                    <a:prstGeom prst="rect">
                      <a:avLst/>
                    </a:prstGeom>
                  </pic:spPr>
                </pic:pic>
              </a:graphicData>
            </a:graphic>
          </wp:inline>
        </w:drawing>
      </w:r>
    </w:p>
    <w:p>
      <w:pPr>
        <w:numPr>
          <w:ilvl w:val="-1"/>
          <w:numId w:val="0"/>
        </w:numPr>
        <w:spacing w:line="574" w:lineRule="exact"/>
        <w:ind w:firstLine="0" w:firstLineChars="0"/>
        <w:jc w:val="center"/>
        <w:outlineLvl w:val="9"/>
        <w:rPr>
          <w:rFonts w:hint="eastAsia" w:ascii="仿宋_GB2312" w:hAnsi="仿宋_GB2312" w:eastAsia="仿宋_GB2312" w:cs="仿宋_GB2312"/>
          <w:color w:val="auto"/>
          <w:spacing w:val="-6"/>
          <w:kern w:val="0"/>
          <w:sz w:val="32"/>
          <w:szCs w:val="32"/>
          <w:lang w:eastAsia="zh-CN"/>
        </w:rPr>
      </w:pPr>
      <w:bookmarkStart w:id="1" w:name="_Toc106128759"/>
      <w:r>
        <w:rPr>
          <w:rFonts w:hint="eastAsia" w:ascii="仿宋_GB2312" w:hAnsi="仿宋_GB2312" w:eastAsia="仿宋_GB2312" w:cs="仿宋_GB2312"/>
          <w:color w:val="auto"/>
          <w:spacing w:val="-6"/>
          <w:kern w:val="0"/>
          <w:sz w:val="32"/>
          <w:szCs w:val="32"/>
          <w:lang w:eastAsia="zh-CN"/>
        </w:rPr>
        <w:t>供地示意图</w:t>
      </w:r>
    </w:p>
    <w:p>
      <w:pPr>
        <w:spacing w:line="574" w:lineRule="exact"/>
        <w:ind w:firstLine="616"/>
        <w:outlineLvl w:val="2"/>
        <w:rPr>
          <w:rFonts w:hint="eastAsia" w:ascii="楷体" w:hAnsi="楷体" w:eastAsia="楷体" w:cs="楷体"/>
          <w:color w:val="auto"/>
          <w:spacing w:val="-6"/>
          <w:kern w:val="0"/>
          <w:sz w:val="32"/>
          <w:szCs w:val="32"/>
        </w:rPr>
      </w:pPr>
    </w:p>
    <w:p>
      <w:pPr>
        <w:spacing w:line="574" w:lineRule="exact"/>
        <w:ind w:firstLine="616"/>
        <w:outlineLvl w:val="2"/>
        <w:rPr>
          <w:rFonts w:ascii="楷体" w:hAnsi="楷体" w:eastAsia="楷体" w:cs="楷体"/>
          <w:color w:val="auto"/>
          <w:spacing w:val="-6"/>
          <w:kern w:val="0"/>
          <w:sz w:val="32"/>
          <w:szCs w:val="32"/>
        </w:rPr>
      </w:pPr>
      <w:r>
        <w:rPr>
          <w:rFonts w:hint="eastAsia" w:ascii="楷体" w:hAnsi="楷体" w:eastAsia="楷体" w:cs="楷体"/>
          <w:color w:val="auto"/>
          <w:spacing w:val="-6"/>
          <w:kern w:val="0"/>
          <w:sz w:val="32"/>
          <w:szCs w:val="32"/>
        </w:rPr>
        <w:t>（</w:t>
      </w:r>
      <w:r>
        <w:rPr>
          <w:rFonts w:hint="eastAsia" w:ascii="楷体" w:hAnsi="楷体" w:eastAsia="楷体" w:cs="楷体"/>
          <w:color w:val="auto"/>
          <w:spacing w:val="-6"/>
          <w:kern w:val="0"/>
          <w:sz w:val="32"/>
          <w:szCs w:val="32"/>
          <w:lang w:eastAsia="zh-CN"/>
        </w:rPr>
        <w:t>四</w:t>
      </w:r>
      <w:r>
        <w:rPr>
          <w:rFonts w:hint="eastAsia" w:ascii="楷体" w:hAnsi="楷体" w:eastAsia="楷体" w:cs="楷体"/>
          <w:color w:val="auto"/>
          <w:spacing w:val="-6"/>
          <w:kern w:val="0"/>
          <w:sz w:val="32"/>
          <w:szCs w:val="32"/>
        </w:rPr>
        <w:t>）拟改造情况</w:t>
      </w:r>
      <w:bookmarkEnd w:id="1"/>
    </w:p>
    <w:p>
      <w:pPr>
        <w:spacing w:line="574" w:lineRule="exact"/>
        <w:ind w:firstLine="616" w:firstLineChars="200"/>
        <w:rPr>
          <w:rFonts w:hint="eastAsia" w:ascii="仿宋_GB2312" w:hAnsi="仿宋_GB2312" w:eastAsia="仿宋_GB2312" w:cs="仿宋_GB2312"/>
          <w:color w:val="auto"/>
          <w:spacing w:val="-6"/>
          <w:sz w:val="32"/>
        </w:rPr>
      </w:pPr>
      <w:r>
        <w:rPr>
          <w:rFonts w:hint="eastAsia" w:ascii="仿宋_GB2312" w:hAnsi="仿宋_GB2312" w:eastAsia="仿宋_GB2312" w:cs="仿宋_GB2312"/>
          <w:color w:val="auto"/>
          <w:spacing w:val="-6"/>
          <w:sz w:val="32"/>
          <w:szCs w:val="32"/>
        </w:rPr>
        <w:t>公开出让的</w:t>
      </w:r>
      <w:r>
        <w:rPr>
          <w:rFonts w:hint="eastAsia" w:ascii="仿宋_GB2312" w:hAnsi="仿宋_GB2312" w:eastAsia="仿宋_GB2312" w:cs="仿宋_GB2312"/>
          <w:color w:val="auto"/>
          <w:spacing w:val="-6"/>
          <w:kern w:val="0"/>
          <w:sz w:val="32"/>
          <w:szCs w:val="32"/>
          <w:lang w:val="en-US" w:eastAsia="zh-CN"/>
        </w:rPr>
        <w:t>1.51</w:t>
      </w:r>
      <w:r>
        <w:rPr>
          <w:rFonts w:hint="eastAsia" w:ascii="仿宋_GB2312" w:hAnsi="仿宋_GB2312" w:eastAsia="仿宋_GB2312" w:cs="仿宋_GB2312"/>
          <w:color w:val="auto"/>
          <w:spacing w:val="-6"/>
          <w:kern w:val="0"/>
          <w:sz w:val="32"/>
          <w:szCs w:val="32"/>
        </w:rPr>
        <w:t>公顷（</w:t>
      </w:r>
      <w:r>
        <w:rPr>
          <w:rFonts w:hint="eastAsia" w:ascii="仿宋_GB2312" w:hAnsi="仿宋_GB2312" w:eastAsia="仿宋_GB2312" w:cs="仿宋_GB2312"/>
          <w:color w:val="auto"/>
          <w:spacing w:val="-6"/>
          <w:kern w:val="0"/>
          <w:sz w:val="32"/>
          <w:szCs w:val="32"/>
          <w:lang w:val="en-US" w:eastAsia="zh-CN"/>
        </w:rPr>
        <w:t>15138.83</w:t>
      </w:r>
      <w:r>
        <w:rPr>
          <w:rFonts w:hint="eastAsia" w:ascii="仿宋_GB2312" w:hAnsi="仿宋_GB2312" w:eastAsia="仿宋_GB2312" w:cs="仿宋_GB2312"/>
          <w:color w:val="auto"/>
          <w:spacing w:val="-6"/>
          <w:kern w:val="0"/>
          <w:sz w:val="32"/>
          <w:szCs w:val="32"/>
        </w:rPr>
        <w:t>平方米，折合约</w:t>
      </w:r>
      <w:r>
        <w:rPr>
          <w:rFonts w:hint="eastAsia" w:ascii="仿宋_GB2312" w:hAnsi="仿宋_GB2312" w:eastAsia="仿宋_GB2312" w:cs="仿宋_GB2312"/>
          <w:color w:val="auto"/>
          <w:spacing w:val="-6"/>
          <w:kern w:val="0"/>
          <w:sz w:val="32"/>
          <w:szCs w:val="32"/>
          <w:lang w:val="en-US" w:eastAsia="zh-CN"/>
        </w:rPr>
        <w:t>22.71</w:t>
      </w:r>
      <w:r>
        <w:rPr>
          <w:rFonts w:hint="eastAsia" w:ascii="仿宋_GB2312" w:hAnsi="仿宋_GB2312" w:eastAsia="仿宋_GB2312" w:cs="仿宋_GB2312"/>
          <w:color w:val="auto"/>
          <w:spacing w:val="-6"/>
          <w:kern w:val="0"/>
          <w:sz w:val="32"/>
          <w:szCs w:val="32"/>
        </w:rPr>
        <w:t>亩）</w:t>
      </w:r>
      <w:r>
        <w:rPr>
          <w:rFonts w:hint="eastAsia" w:ascii="仿宋_GB2312" w:hAnsi="仿宋_GB2312" w:eastAsia="仿宋_GB2312" w:cs="仿宋_GB2312"/>
          <w:color w:val="auto"/>
          <w:spacing w:val="-6"/>
          <w:sz w:val="32"/>
          <w:szCs w:val="32"/>
        </w:rPr>
        <w:t>规划</w:t>
      </w:r>
      <w:r>
        <w:rPr>
          <w:rFonts w:hint="eastAsia" w:ascii="仿宋_GB2312" w:hAnsi="仿宋_GB2312" w:eastAsia="仿宋_GB2312" w:cs="仿宋_GB2312"/>
          <w:color w:val="auto"/>
          <w:spacing w:val="-6"/>
          <w:sz w:val="32"/>
          <w:szCs w:val="32"/>
          <w:lang w:eastAsia="zh-CN"/>
        </w:rPr>
        <w:t>为一</w:t>
      </w:r>
      <w:r>
        <w:rPr>
          <w:rFonts w:hint="eastAsia" w:ascii="仿宋_GB2312" w:hAnsi="仿宋_GB2312" w:eastAsia="仿宋_GB2312" w:cs="仿宋_GB2312"/>
          <w:color w:val="auto"/>
          <w:spacing w:val="-6"/>
          <w:sz w:val="32"/>
          <w:szCs w:val="32"/>
        </w:rPr>
        <w:t>类工业用地，改造后</w:t>
      </w:r>
      <w:r>
        <w:rPr>
          <w:rFonts w:hint="eastAsia" w:ascii="仿宋_GB2312" w:hAnsi="仿宋_GB2312" w:eastAsia="仿宋_GB2312" w:cs="仿宋_GB2312"/>
          <w:color w:val="auto"/>
          <w:spacing w:val="-6"/>
          <w:sz w:val="32"/>
          <w:szCs w:val="32"/>
          <w:lang w:val="en-US" w:eastAsia="zh-CN"/>
        </w:rPr>
        <w:t>作为</w:t>
      </w:r>
      <w:r>
        <w:rPr>
          <w:rFonts w:hint="eastAsia" w:ascii="仿宋_GB2312" w:hAnsi="仿宋_GB2312" w:eastAsia="仿宋_GB2312" w:cs="仿宋_GB2312"/>
          <w:color w:val="auto"/>
          <w:spacing w:val="-6"/>
          <w:sz w:val="32"/>
          <w:szCs w:val="32"/>
        </w:rPr>
        <w:t>工业用</w:t>
      </w:r>
      <w:r>
        <w:rPr>
          <w:rFonts w:hint="eastAsia" w:ascii="仿宋_GB2312" w:hAnsi="仿宋_GB2312" w:eastAsia="仿宋_GB2312" w:cs="仿宋_GB2312"/>
          <w:color w:val="auto"/>
          <w:spacing w:val="-6"/>
          <w:sz w:val="32"/>
        </w:rPr>
        <w:t>途，用于单一企业产业项目招引，引入先进装备制造、电子信息、智能家居、新材料、智能制造、精密仪器等产业类型，在符合</w:t>
      </w:r>
      <w:r>
        <w:rPr>
          <w:rFonts w:hint="eastAsia" w:ascii="仿宋_GB2312" w:hAnsi="仿宋_GB2312" w:eastAsia="仿宋_GB2312" w:cs="仿宋_GB2312"/>
          <w:b w:val="0"/>
          <w:bCs w:val="0"/>
          <w:color w:val="auto"/>
          <w:spacing w:val="-6"/>
          <w:kern w:val="0"/>
          <w:sz w:val="32"/>
          <w:szCs w:val="32"/>
          <w:highlight w:val="none"/>
        </w:rPr>
        <w:t>详细规划</w:t>
      </w:r>
      <w:r>
        <w:rPr>
          <w:rFonts w:hint="eastAsia" w:ascii="仿宋_GB2312" w:hAnsi="仿宋_GB2312" w:eastAsia="仿宋_GB2312" w:cs="仿宋_GB2312"/>
          <w:color w:val="auto"/>
          <w:spacing w:val="-6"/>
          <w:sz w:val="32"/>
        </w:rPr>
        <w:t>的基础上，容积率不小于</w:t>
      </w:r>
      <w:r>
        <w:rPr>
          <w:rFonts w:hint="eastAsia" w:ascii="仿宋_GB2312" w:hAnsi="仿宋_GB2312" w:eastAsia="仿宋_GB2312" w:cs="仿宋_GB2312"/>
          <w:color w:val="auto"/>
          <w:spacing w:val="-6"/>
          <w:sz w:val="32"/>
          <w:lang w:val="en-US" w:eastAsia="zh-CN"/>
        </w:rPr>
        <w:t>3.0，</w:t>
      </w:r>
      <w:r>
        <w:rPr>
          <w:rFonts w:hint="eastAsia" w:ascii="仿宋_GB2312" w:hAnsi="仿宋_GB2312" w:eastAsia="仿宋_GB2312" w:cs="仿宋_GB2312"/>
          <w:color w:val="auto"/>
          <w:spacing w:val="-6"/>
          <w:sz w:val="32"/>
          <w:lang w:eastAsia="zh-CN"/>
        </w:rPr>
        <w:t>不</w:t>
      </w:r>
      <w:r>
        <w:rPr>
          <w:rFonts w:hint="eastAsia" w:ascii="仿宋_GB2312" w:hAnsi="仿宋_GB2312" w:eastAsia="仿宋_GB2312" w:cs="仿宋_GB2312"/>
          <w:color w:val="auto"/>
          <w:spacing w:val="-6"/>
          <w:sz w:val="32"/>
        </w:rPr>
        <w:t>保留</w:t>
      </w:r>
      <w:r>
        <w:rPr>
          <w:rFonts w:hint="eastAsia" w:ascii="仿宋_GB2312" w:hAnsi="仿宋_GB2312" w:eastAsia="仿宋_GB2312" w:cs="仿宋_GB2312"/>
          <w:color w:val="auto"/>
          <w:spacing w:val="-6"/>
          <w:sz w:val="32"/>
          <w:lang w:eastAsia="zh-CN"/>
        </w:rPr>
        <w:t>原</w:t>
      </w:r>
      <w:r>
        <w:rPr>
          <w:rFonts w:hint="eastAsia" w:ascii="仿宋_GB2312" w:hAnsi="仿宋_GB2312" w:eastAsia="仿宋_GB2312" w:cs="仿宋_GB2312"/>
          <w:color w:val="auto"/>
          <w:spacing w:val="-6"/>
          <w:sz w:val="32"/>
        </w:rPr>
        <w:t>建筑</w:t>
      </w:r>
      <w:r>
        <w:rPr>
          <w:rFonts w:hint="eastAsia" w:ascii="仿宋_GB2312" w:hAnsi="仿宋_GB2312" w:eastAsia="仿宋_GB2312" w:cs="仿宋_GB2312"/>
          <w:color w:val="auto"/>
          <w:spacing w:val="-6"/>
          <w:sz w:val="32"/>
          <w:lang w:eastAsia="zh-CN"/>
        </w:rPr>
        <w:t>，</w:t>
      </w:r>
      <w:r>
        <w:rPr>
          <w:rFonts w:hint="eastAsia" w:ascii="仿宋_GB2312" w:hAnsi="仿宋_GB2312" w:eastAsia="仿宋_GB2312" w:cs="仿宋_GB2312"/>
          <w:color w:val="auto"/>
          <w:spacing w:val="-6"/>
          <w:sz w:val="32"/>
        </w:rPr>
        <w:t>不再进行分割销售。</w:t>
      </w:r>
    </w:p>
    <w:p>
      <w:pPr>
        <w:spacing w:line="574" w:lineRule="exact"/>
        <w:ind w:firstLine="616" w:firstLineChars="200"/>
        <w:rPr>
          <w:rFonts w:hint="eastAsia" w:ascii="仿宋_GB2312" w:hAnsi="仿宋_GB2312" w:eastAsia="仿宋_GB2312" w:cs="仿宋_GB2312"/>
          <w:color w:val="auto"/>
          <w:spacing w:val="-6"/>
          <w:sz w:val="32"/>
          <w:highlight w:val="none"/>
        </w:rPr>
      </w:pPr>
      <w:r>
        <w:rPr>
          <w:rFonts w:hint="eastAsia" w:ascii="仿宋_GB2312" w:hAnsi="仿宋_GB2312" w:eastAsia="仿宋_GB2312" w:cs="仿宋_GB2312"/>
          <w:color w:val="auto"/>
          <w:spacing w:val="-6"/>
          <w:sz w:val="32"/>
        </w:rPr>
        <w:t>项目相关情况符合国家《产业结构调整指导目录》、《</w:t>
      </w:r>
      <w:r>
        <w:rPr>
          <w:rFonts w:hint="eastAsia" w:ascii="仿宋_GB2312" w:hAnsi="仿宋_GB2312" w:eastAsia="仿宋_GB2312" w:cs="仿宋_GB2312"/>
          <w:color w:val="auto"/>
          <w:spacing w:val="-6"/>
          <w:sz w:val="32"/>
          <w:szCs w:val="32"/>
        </w:rPr>
        <w:t>中山市“三线一单”生态环境分区管控方案</w:t>
      </w:r>
      <w:r>
        <w:rPr>
          <w:rFonts w:hint="eastAsia" w:ascii="仿宋_GB2312" w:hAnsi="仿宋_GB2312" w:eastAsia="仿宋_GB2312" w:cs="仿宋_GB2312"/>
          <w:color w:val="auto"/>
          <w:spacing w:val="-6"/>
          <w:sz w:val="32"/>
        </w:rPr>
        <w:t>》、《中山市涉挥发性有</w:t>
      </w:r>
      <w:r>
        <w:rPr>
          <w:rFonts w:hint="eastAsia" w:ascii="仿宋_GB2312" w:hAnsi="仿宋_GB2312" w:eastAsia="仿宋_GB2312" w:cs="仿宋_GB2312"/>
          <w:color w:val="auto"/>
          <w:spacing w:val="-6"/>
          <w:sz w:val="32"/>
          <w:highlight w:val="none"/>
        </w:rPr>
        <w:t>机物项目环保管理规定》。改造后年产值将达到</w:t>
      </w:r>
      <w:r>
        <w:rPr>
          <w:rFonts w:hint="eastAsia" w:ascii="仿宋_GB2312" w:hAnsi="仿宋_GB2312" w:eastAsia="仿宋_GB2312" w:cs="仿宋_GB2312"/>
          <w:color w:val="auto"/>
          <w:spacing w:val="-6"/>
          <w:sz w:val="32"/>
          <w:highlight w:val="none"/>
          <w:lang w:val="en-US" w:eastAsia="zh-CN"/>
        </w:rPr>
        <w:t>27252</w:t>
      </w:r>
      <w:r>
        <w:rPr>
          <w:rFonts w:hint="eastAsia" w:ascii="仿宋_GB2312" w:hAnsi="仿宋_GB2312" w:eastAsia="仿宋_GB2312" w:cs="仿宋_GB2312"/>
          <w:color w:val="auto"/>
          <w:spacing w:val="-6"/>
          <w:sz w:val="32"/>
          <w:highlight w:val="none"/>
        </w:rPr>
        <w:t>万元</w:t>
      </w:r>
      <w:r>
        <w:rPr>
          <w:rFonts w:hint="eastAsia" w:ascii="仿宋_GB2312" w:hAnsi="仿宋_GB2312" w:eastAsia="仿宋_GB2312" w:cs="仿宋_GB2312"/>
          <w:color w:val="auto"/>
          <w:spacing w:val="-6"/>
          <w:sz w:val="32"/>
          <w:highlight w:val="none"/>
          <w:lang w:eastAsia="zh-CN"/>
        </w:rPr>
        <w:t>（约</w:t>
      </w:r>
      <w:r>
        <w:rPr>
          <w:rFonts w:hint="eastAsia" w:ascii="仿宋_GB2312" w:hAnsi="仿宋_GB2312" w:eastAsia="仿宋_GB2312" w:cs="仿宋_GB2312"/>
          <w:color w:val="auto"/>
          <w:spacing w:val="-6"/>
          <w:kern w:val="2"/>
          <w:sz w:val="32"/>
          <w:szCs w:val="24"/>
          <w:highlight w:val="none"/>
          <w:u w:val="none"/>
          <w:lang w:val="en-US" w:eastAsia="zh-CN"/>
        </w:rPr>
        <w:t>1200</w:t>
      </w:r>
      <w:r>
        <w:rPr>
          <w:rFonts w:hint="eastAsia" w:ascii="仿宋_GB2312" w:hAnsi="仿宋_GB2312" w:eastAsia="仿宋_GB2312" w:cs="仿宋_GB2312"/>
          <w:color w:val="auto"/>
          <w:spacing w:val="-6"/>
          <w:kern w:val="2"/>
          <w:sz w:val="32"/>
          <w:szCs w:val="24"/>
          <w:highlight w:val="none"/>
          <w:u w:val="none"/>
          <w:lang w:eastAsia="zh-CN"/>
        </w:rPr>
        <w:t>万</w:t>
      </w:r>
      <w:r>
        <w:rPr>
          <w:rFonts w:hint="eastAsia" w:ascii="仿宋_GB2312" w:hAnsi="仿宋_GB2312" w:eastAsia="仿宋_GB2312" w:cs="仿宋_GB2312"/>
          <w:color w:val="auto"/>
          <w:spacing w:val="-6"/>
          <w:kern w:val="2"/>
          <w:sz w:val="32"/>
          <w:szCs w:val="24"/>
          <w:highlight w:val="none"/>
          <w:u w:val="none"/>
          <w:lang w:val="en-US" w:eastAsia="zh-CN"/>
        </w:rPr>
        <w:t>/亩</w:t>
      </w:r>
      <w:r>
        <w:rPr>
          <w:rFonts w:hint="eastAsia" w:ascii="仿宋_GB2312" w:hAnsi="仿宋_GB2312" w:eastAsia="仿宋_GB2312" w:cs="仿宋_GB2312"/>
          <w:color w:val="auto"/>
          <w:spacing w:val="-6"/>
          <w:sz w:val="32"/>
          <w:highlight w:val="none"/>
          <w:lang w:eastAsia="zh-CN"/>
        </w:rPr>
        <w:t>）</w:t>
      </w:r>
      <w:r>
        <w:rPr>
          <w:rFonts w:hint="eastAsia" w:ascii="仿宋_GB2312" w:hAnsi="仿宋_GB2312" w:eastAsia="仿宋_GB2312" w:cs="仿宋_GB2312"/>
          <w:color w:val="auto"/>
          <w:spacing w:val="-6"/>
          <w:sz w:val="32"/>
          <w:highlight w:val="none"/>
        </w:rPr>
        <w:t>，</w:t>
      </w:r>
      <w:r>
        <w:rPr>
          <w:rFonts w:hint="eastAsia" w:ascii="仿宋_GB2312" w:hAnsi="仿宋_GB2312" w:eastAsia="仿宋_GB2312" w:cs="仿宋_GB2312"/>
          <w:color w:val="auto"/>
          <w:spacing w:val="-6"/>
          <w:sz w:val="32"/>
          <w:highlight w:val="none"/>
          <w:lang w:eastAsia="zh-CN"/>
        </w:rPr>
        <w:t>所产生的年税收以土地公开出让时项目招商准入审定结果为准</w:t>
      </w:r>
      <w:r>
        <w:rPr>
          <w:rFonts w:hint="eastAsia" w:ascii="仿宋_GB2312" w:hAnsi="仿宋_GB2312" w:eastAsia="仿宋_GB2312" w:cs="仿宋_GB2312"/>
          <w:color w:val="auto"/>
          <w:spacing w:val="-6"/>
          <w:sz w:val="3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资金筹措</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sz w:val="32"/>
          <w:szCs w:val="32"/>
          <w:highlight w:val="none"/>
        </w:rPr>
        <w:t>公开出让的</w:t>
      </w:r>
      <w:r>
        <w:rPr>
          <w:rFonts w:hint="eastAsia" w:ascii="仿宋_GB2312" w:hAnsi="仿宋_GB2312" w:eastAsia="仿宋_GB2312" w:cs="仿宋_GB2312"/>
          <w:color w:val="auto"/>
          <w:spacing w:val="-6"/>
          <w:kern w:val="0"/>
          <w:sz w:val="32"/>
          <w:szCs w:val="32"/>
          <w:highlight w:val="none"/>
          <w:lang w:val="en-US" w:eastAsia="zh-CN"/>
        </w:rPr>
        <w:t>1.51</w:t>
      </w:r>
      <w:r>
        <w:rPr>
          <w:rFonts w:hint="eastAsia" w:ascii="仿宋_GB2312" w:hAnsi="仿宋_GB2312" w:eastAsia="仿宋_GB2312" w:cs="仿宋_GB2312"/>
          <w:color w:val="auto"/>
          <w:spacing w:val="-6"/>
          <w:kern w:val="0"/>
          <w:sz w:val="32"/>
          <w:szCs w:val="32"/>
          <w:highlight w:val="none"/>
        </w:rPr>
        <w:t>公顷（</w:t>
      </w:r>
      <w:r>
        <w:rPr>
          <w:rFonts w:hint="eastAsia" w:ascii="仿宋_GB2312" w:hAnsi="仿宋_GB2312" w:eastAsia="仿宋_GB2312" w:cs="仿宋_GB2312"/>
          <w:color w:val="auto"/>
          <w:spacing w:val="-6"/>
          <w:kern w:val="0"/>
          <w:sz w:val="32"/>
          <w:szCs w:val="32"/>
          <w:highlight w:val="none"/>
          <w:lang w:val="en-US" w:eastAsia="zh-CN"/>
        </w:rPr>
        <w:t>15138.83</w:t>
      </w:r>
      <w:r>
        <w:rPr>
          <w:rFonts w:hint="eastAsia" w:ascii="仿宋_GB2312" w:hAnsi="仿宋_GB2312" w:eastAsia="仿宋_GB2312" w:cs="仿宋_GB2312"/>
          <w:color w:val="auto"/>
          <w:spacing w:val="-6"/>
          <w:kern w:val="0"/>
          <w:sz w:val="32"/>
          <w:szCs w:val="32"/>
          <w:highlight w:val="none"/>
        </w:rPr>
        <w:t>平方米，折合约</w:t>
      </w:r>
      <w:r>
        <w:rPr>
          <w:rFonts w:hint="eastAsia" w:ascii="仿宋_GB2312" w:hAnsi="仿宋_GB2312" w:eastAsia="仿宋_GB2312" w:cs="仿宋_GB2312"/>
          <w:color w:val="auto"/>
          <w:spacing w:val="-6"/>
          <w:kern w:val="0"/>
          <w:sz w:val="32"/>
          <w:szCs w:val="32"/>
          <w:highlight w:val="none"/>
          <w:lang w:val="en-US" w:eastAsia="zh-CN"/>
        </w:rPr>
        <w:t>22.71</w:t>
      </w:r>
      <w:r>
        <w:rPr>
          <w:rFonts w:hint="eastAsia" w:ascii="仿宋_GB2312" w:hAnsi="仿宋_GB2312" w:eastAsia="仿宋_GB2312" w:cs="仿宋_GB2312"/>
          <w:color w:val="auto"/>
          <w:spacing w:val="-6"/>
          <w:kern w:val="0"/>
          <w:sz w:val="32"/>
          <w:szCs w:val="32"/>
          <w:highlight w:val="none"/>
        </w:rPr>
        <w:t>亩）</w:t>
      </w:r>
      <w:r>
        <w:rPr>
          <w:rFonts w:hint="eastAsia" w:ascii="仿宋_GB2312" w:hAnsi="仿宋_GB2312" w:eastAsia="仿宋_GB2312" w:cs="仿宋_GB2312"/>
          <w:color w:val="auto"/>
          <w:spacing w:val="-6"/>
          <w:sz w:val="32"/>
          <w:szCs w:val="32"/>
          <w:highlight w:val="none"/>
          <w:lang w:val="en-US" w:eastAsia="zh-CN"/>
        </w:rPr>
        <w:t>规划为一类工业用地，由改造</w:t>
      </w:r>
      <w:r>
        <w:rPr>
          <w:rFonts w:hint="eastAsia" w:ascii="仿宋_GB2312" w:hAnsi="仿宋_GB2312" w:eastAsia="仿宋_GB2312" w:cs="仿宋_GB2312"/>
          <w:color w:val="auto"/>
          <w:spacing w:val="-6"/>
          <w:kern w:val="0"/>
          <w:sz w:val="32"/>
          <w:szCs w:val="32"/>
          <w:highlight w:val="none"/>
        </w:rPr>
        <w:t>主体拟投入资金</w:t>
      </w:r>
      <w:r>
        <w:rPr>
          <w:rFonts w:hint="eastAsia" w:ascii="仿宋_GB2312" w:hAnsi="仿宋_GB2312" w:eastAsia="仿宋_GB2312" w:cs="仿宋_GB2312"/>
          <w:color w:val="auto"/>
          <w:spacing w:val="-6"/>
          <w:kern w:val="0"/>
          <w:sz w:val="32"/>
          <w:szCs w:val="32"/>
          <w:highlight w:val="none"/>
          <w:lang w:eastAsia="zh-CN"/>
        </w:rPr>
        <w:t>不少于</w:t>
      </w:r>
      <w:r>
        <w:rPr>
          <w:rFonts w:hint="eastAsia" w:ascii="仿宋_GB2312" w:hAnsi="仿宋_GB2312" w:eastAsia="仿宋_GB2312" w:cs="仿宋_GB2312"/>
          <w:color w:val="auto"/>
          <w:spacing w:val="-6"/>
          <w:kern w:val="0"/>
          <w:sz w:val="32"/>
          <w:szCs w:val="32"/>
          <w:highlight w:val="none"/>
          <w:u w:val="none"/>
          <w:lang w:val="en-US" w:eastAsia="zh-CN"/>
        </w:rPr>
        <w:t>20000</w:t>
      </w:r>
      <w:r>
        <w:rPr>
          <w:rFonts w:hint="eastAsia" w:ascii="仿宋_GB2312" w:hAnsi="仿宋_GB2312" w:eastAsia="仿宋_GB2312" w:cs="仿宋_GB2312"/>
          <w:color w:val="auto"/>
          <w:spacing w:val="-6"/>
          <w:kern w:val="0"/>
          <w:sz w:val="32"/>
          <w:szCs w:val="32"/>
          <w:highlight w:val="none"/>
        </w:rPr>
        <w:t>万元</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lang w:eastAsia="zh-CN"/>
        </w:rPr>
        <w:t>具体数据以最终发生为准</w:t>
      </w:r>
      <w:r>
        <w:rPr>
          <w:rFonts w:hint="eastAsia" w:ascii="仿宋_GB2312" w:hAnsi="仿宋_GB2312" w:eastAsia="仿宋_GB2312" w:cs="仿宋_GB2312"/>
          <w:color w:val="auto"/>
          <w:spacing w:val="-6"/>
          <w:kern w:val="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开发时序</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rPr>
        <w:t>公开出让的</w:t>
      </w:r>
      <w:r>
        <w:rPr>
          <w:rFonts w:hint="eastAsia" w:ascii="仿宋_GB2312" w:hAnsi="仿宋_GB2312" w:eastAsia="仿宋_GB2312" w:cs="仿宋_GB2312"/>
          <w:color w:val="auto"/>
          <w:spacing w:val="-6"/>
          <w:kern w:val="0"/>
          <w:sz w:val="32"/>
          <w:szCs w:val="32"/>
          <w:lang w:val="en-US" w:eastAsia="zh-CN"/>
        </w:rPr>
        <w:t>1.51</w:t>
      </w:r>
      <w:r>
        <w:rPr>
          <w:rFonts w:hint="eastAsia" w:ascii="仿宋_GB2312" w:hAnsi="仿宋_GB2312" w:eastAsia="仿宋_GB2312" w:cs="仿宋_GB2312"/>
          <w:color w:val="auto"/>
          <w:spacing w:val="-6"/>
          <w:kern w:val="0"/>
          <w:sz w:val="32"/>
          <w:szCs w:val="32"/>
        </w:rPr>
        <w:t>公顷（</w:t>
      </w:r>
      <w:r>
        <w:rPr>
          <w:rFonts w:hint="eastAsia" w:ascii="仿宋_GB2312" w:hAnsi="仿宋_GB2312" w:eastAsia="仿宋_GB2312" w:cs="仿宋_GB2312"/>
          <w:color w:val="auto"/>
          <w:spacing w:val="-6"/>
          <w:kern w:val="0"/>
          <w:sz w:val="32"/>
          <w:szCs w:val="32"/>
          <w:lang w:val="en-US" w:eastAsia="zh-CN"/>
        </w:rPr>
        <w:t>15138.83</w:t>
      </w:r>
      <w:r>
        <w:rPr>
          <w:rFonts w:hint="eastAsia" w:ascii="仿宋_GB2312" w:hAnsi="仿宋_GB2312" w:eastAsia="仿宋_GB2312" w:cs="仿宋_GB2312"/>
          <w:color w:val="auto"/>
          <w:spacing w:val="-6"/>
          <w:kern w:val="0"/>
          <w:sz w:val="32"/>
          <w:szCs w:val="32"/>
        </w:rPr>
        <w:t>平方米，折合约</w:t>
      </w:r>
      <w:r>
        <w:rPr>
          <w:rFonts w:hint="eastAsia" w:ascii="仿宋_GB2312" w:hAnsi="仿宋_GB2312" w:eastAsia="仿宋_GB2312" w:cs="仿宋_GB2312"/>
          <w:color w:val="auto"/>
          <w:spacing w:val="-6"/>
          <w:kern w:val="0"/>
          <w:sz w:val="32"/>
          <w:szCs w:val="32"/>
          <w:lang w:val="en-US" w:eastAsia="zh-CN"/>
        </w:rPr>
        <w:t>22.71</w:t>
      </w:r>
      <w:r>
        <w:rPr>
          <w:rFonts w:hint="eastAsia" w:ascii="仿宋_GB2312" w:hAnsi="仿宋_GB2312" w:eastAsia="仿宋_GB2312" w:cs="仿宋_GB2312"/>
          <w:color w:val="auto"/>
          <w:spacing w:val="-6"/>
          <w:kern w:val="0"/>
          <w:sz w:val="32"/>
          <w:szCs w:val="32"/>
        </w:rPr>
        <w:t>亩）</w:t>
      </w:r>
      <w:r>
        <w:rPr>
          <w:rFonts w:hint="eastAsia" w:ascii="仿宋_GB2312" w:hAnsi="仿宋_GB2312" w:eastAsia="仿宋_GB2312" w:cs="仿宋_GB2312"/>
          <w:color w:val="auto"/>
          <w:spacing w:val="-6"/>
          <w:sz w:val="32"/>
          <w:szCs w:val="32"/>
          <w:lang w:val="en-US" w:eastAsia="zh-CN"/>
        </w:rPr>
        <w:t>规划为一类工业用地，项目开发</w:t>
      </w:r>
      <w:bookmarkStart w:id="2" w:name="_GoBack"/>
      <w:bookmarkEnd w:id="2"/>
      <w:r>
        <w:rPr>
          <w:rFonts w:hint="eastAsia" w:ascii="仿宋_GB2312" w:hAnsi="仿宋_GB2312" w:eastAsia="仿宋_GB2312" w:cs="仿宋_GB2312"/>
          <w:color w:val="auto"/>
          <w:spacing w:val="-6"/>
          <w:sz w:val="32"/>
          <w:szCs w:val="32"/>
          <w:lang w:val="en-US" w:eastAsia="zh-CN"/>
        </w:rPr>
        <w:t>周期为自签订出让合同之日起180天内动工，自动工之日起360天内竣工，主要实施工业厂房及相应配套设施项目，竣工后四个月投产。具体开发时间、建设内容以土地使用权出让合同及项目履约监管合同约定为准。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六、实施监管</w:t>
      </w:r>
    </w:p>
    <w:p>
      <w:pPr>
        <w:spacing w:line="574" w:lineRule="exact"/>
        <w:ind w:firstLine="616" w:firstLineChars="200"/>
        <w:outlineLvl w:val="9"/>
        <w:rPr>
          <w:color w:val="auto"/>
        </w:rPr>
      </w:pPr>
      <w:r>
        <w:rPr>
          <w:rFonts w:hint="eastAsia" w:ascii="仿宋_GB2312" w:hAnsi="仿宋_GB2312" w:eastAsia="仿宋_GB2312" w:cs="仿宋_GB2312"/>
          <w:color w:val="auto"/>
          <w:spacing w:val="-6"/>
          <w:kern w:val="0"/>
          <w:sz w:val="32"/>
          <w:szCs w:val="32"/>
          <w:lang w:eastAsia="zh-CN"/>
        </w:rPr>
        <w:t>项目供应土地按《中山市国有建设用地供应管理办法》实施监管</w:t>
      </w:r>
      <w:r>
        <w:rPr>
          <w:rFonts w:hint="eastAsia" w:ascii="仿宋_GB2312" w:hAnsi="仿宋_GB2312" w:eastAsia="仿宋_GB2312" w:cs="仿宋_GB2312"/>
          <w:color w:val="auto"/>
          <w:spacing w:val="-6"/>
          <w:kern w:val="0"/>
          <w:sz w:val="32"/>
          <w:szCs w:val="32"/>
          <w:highlight w:val="none"/>
        </w:rPr>
        <w:t>。</w:t>
      </w:r>
    </w:p>
    <w:p/>
    <w:sectPr>
      <w:footerReference r:id="rId3"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5F6"/>
    <w:multiLevelType w:val="singleLevel"/>
    <w:tmpl w:val="61CA85F6"/>
    <w:lvl w:ilvl="0" w:tentative="0">
      <w:start w:val="2"/>
      <w:numFmt w:val="chineseCounting"/>
      <w:suff w:val="nothing"/>
      <w:lvlText w:val="（%1）"/>
      <w:lvlJc w:val="left"/>
    </w:lvl>
  </w:abstractNum>
  <w:abstractNum w:abstractNumId="1">
    <w:nsid w:val="61CA8AD6"/>
    <w:multiLevelType w:val="singleLevel"/>
    <w:tmpl w:val="61CA8AD6"/>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D6E8E"/>
    <w:rsid w:val="21AD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0" w:afterAutospacing="0"/>
      <w:ind w:left="0" w:right="0"/>
      <w:jc w:val="center"/>
      <w:outlineLvl w:val="0"/>
    </w:pPr>
    <w:rPr>
      <w:rFonts w:hint="eastAsia" w:ascii="宋体" w:hAnsi="宋体" w:eastAsia="黑体" w:cs="宋体"/>
      <w:kern w:val="44"/>
      <w:sz w:val="36"/>
      <w:szCs w:val="15"/>
      <w:lang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中山市自然资源局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2024-03-11T03:51:00Z</dcterms:created>
  <dc:creator>秦燕</dc:creator>
  <cp:lastModifiedBy>秦燕</cp:lastModifiedBy>
  <dcterms:modified xsi:type="dcterms:W3CDTF">2024-03-11T03:52:33Z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B06B2CDDC849486DAB143125A5584228</vt:lpwstr>
  </property>
</Properties>
</file>