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2024年智慧养老服务调度中心运营服务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指标</w:t>
      </w:r>
    </w:p>
    <w:p>
      <w:pPr>
        <w:ind w:left="0" w:leftChars="0"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page" w:tblpX="1692" w:tblpY="492"/>
        <w:tblOverlap w:val="never"/>
        <w:tblW w:w="9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评审内容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和措施制定情况，要求方案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完整、合理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具体可行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承接单位、实施团队及人员的资质情况。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2021年以来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承接过同类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具体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工作安排计划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情况，要求计划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清晰、节点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明确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报价情况。</w:t>
            </w:r>
          </w:p>
        </w:tc>
      </w:tr>
    </w:tbl>
    <w:p>
      <w:pPr>
        <w:spacing w:line="600" w:lineRule="exac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BD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2024-03-06T10:06:43Z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3973804A931A400D984EC3D3D6F06F67</vt:lpwstr>
  </property>
</Properties>
</file>