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用户需求书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困境儿童保障社工服务项目是为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散居孤儿、事实无人抚养儿童、其他困境儿童和留守儿童等对象提供政策宣传、家庭随访、心理疏导、精神慰藉等精准关爱服务，切实维护困境儿童的基本生活权益。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项目具体指标要求如下：</w:t>
      </w:r>
    </w:p>
    <w:tbl>
      <w:tblPr>
        <w:tblStyle w:val="5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537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wordWrap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wordWrap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wordWrap/>
              <w:jc w:val="center"/>
              <w:rPr>
                <w:rFonts w:hint="default" w:ascii="黑体" w:hAnsi="黑体" w:eastAsia="黑体" w:cs="黑体"/>
                <w:kern w:val="2"/>
                <w:sz w:val="32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实施周期指标值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协助指导各镇街、各村（居）的儿童工作人员有效开展有关儿童福利和权益保护的工作。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制定1份工作实施方案并督促落实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指导儿童督导员、儿童主任对其辖区内困境儿童进行建档。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建档率达100%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为新增建档困境对象及家庭提供社工服务，或协助对象申请相关救助。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服务提供率达100%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依托国家、省系统，落实儿童福利信息动态管理，做好儿童信息数据精准化工作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完成率达100%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提升儿童福利基层工作人员业务水平，为全市儿童督导员、儿童主任提供培训。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培训率达100%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落实全市事实无人抚养儿童和散居孤儿的入户探访工作。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探访率达90%。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开展儿童福利和权益保护方面政策推广宣传活动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协助核查散居孤儿（含艾滋病病毒感染儿童）、事实无人抚养儿童和社会化安置成年孤儿基本生活补贴发放情况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完成率达100%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65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开展个案辅导跟进。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20例个案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CC6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2024-03-06T09:55:27Z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D57E49DA8BF54D82B22B597493FDFCB3</vt:lpwstr>
  </property>
</Properties>
</file>