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_GB2312" w:eastAsia="仿宋_GB2312" w:cs="仿宋_GB2312"/>
          <w:b/>
          <w:bCs/>
          <w:sz w:val="44"/>
          <w:szCs w:val="44"/>
        </w:rPr>
      </w:pPr>
    </w:p>
    <w:p>
      <w:pPr>
        <w:spacing w:line="54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中山市东凤镇</w:t>
      </w:r>
      <w:r>
        <w:rPr>
          <w:rFonts w:hint="eastAsia" w:ascii="仿宋_GB2312" w:hAnsi="仿宋_GB2312" w:eastAsia="仿宋_GB2312" w:cs="仿宋_GB2312"/>
          <w:b/>
          <w:bCs/>
          <w:sz w:val="44"/>
          <w:szCs w:val="44"/>
          <w:lang w:val="en-US" w:eastAsia="zh-CN"/>
        </w:rPr>
        <w:t>和泰同吉路022-1号</w:t>
      </w:r>
      <w:r>
        <w:rPr>
          <w:rFonts w:hint="eastAsia" w:ascii="仿宋_GB2312" w:hAnsi="仿宋_GB2312" w:eastAsia="仿宋_GB2312" w:cs="仿宋_GB2312"/>
          <w:b/>
          <w:bCs/>
          <w:sz w:val="44"/>
          <w:szCs w:val="44"/>
        </w:rPr>
        <w:t>地块</w:t>
      </w:r>
    </w:p>
    <w:p>
      <w:pPr>
        <w:spacing w:line="540" w:lineRule="exact"/>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租赁方案</w:t>
      </w:r>
    </w:p>
    <w:p>
      <w:pPr>
        <w:spacing w:line="600" w:lineRule="exact"/>
        <w:ind w:firstLine="560" w:firstLineChars="200"/>
        <w:rPr>
          <w:rFonts w:ascii="仿宋_GB2312" w:hAnsi="仿宋_GB2312" w:eastAsia="仿宋_GB2312" w:cs="仿宋_GB2312"/>
          <w:sz w:val="28"/>
          <w:szCs w:val="28"/>
        </w:rPr>
      </w:pPr>
    </w:p>
    <w:p>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中山市东凤镇集体资产管理有限公司所经营管理位于东凤镇</w:t>
      </w:r>
      <w:r>
        <w:rPr>
          <w:rFonts w:hint="eastAsia" w:ascii="仿宋_GB2312" w:hAnsi="仿宋_GB2312" w:eastAsia="仿宋_GB2312" w:cs="仿宋_GB2312"/>
          <w:b w:val="0"/>
          <w:bCs w:val="0"/>
          <w:sz w:val="28"/>
          <w:szCs w:val="28"/>
          <w:highlight w:val="none"/>
          <w:lang w:val="en-US" w:eastAsia="zh-CN"/>
        </w:rPr>
        <w:t>和泰同吉路022-1</w:t>
      </w:r>
      <w:r>
        <w:rPr>
          <w:rFonts w:hint="eastAsia" w:ascii="仿宋_GB2312" w:hAnsi="仿宋_GB2312" w:eastAsia="仿宋_GB2312" w:cs="仿宋_GB2312"/>
          <w:sz w:val="28"/>
          <w:szCs w:val="28"/>
          <w:highlight w:val="none"/>
          <w:lang w:val="en-US" w:eastAsia="zh-CN"/>
        </w:rPr>
        <w:t>号</w:t>
      </w:r>
      <w:r>
        <w:rPr>
          <w:rFonts w:hint="eastAsia" w:ascii="仿宋_GB2312" w:hAnsi="仿宋_GB2312" w:eastAsia="仿宋_GB2312" w:cs="仿宋_GB2312"/>
          <w:sz w:val="28"/>
          <w:szCs w:val="28"/>
          <w:highlight w:val="none"/>
          <w:lang w:eastAsia="zh-CN"/>
        </w:rPr>
        <w:t>地块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现面对社会进行公开</w:t>
      </w:r>
      <w:r>
        <w:rPr>
          <w:rFonts w:hint="eastAsia" w:ascii="仿宋_GB2312" w:hAnsi="仿宋_GB2312" w:eastAsia="仿宋_GB2312" w:cs="仿宋_GB2312"/>
          <w:sz w:val="28"/>
          <w:szCs w:val="28"/>
          <w:lang w:val="en-US" w:eastAsia="zh-CN"/>
        </w:rPr>
        <w:t>招租</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1、坐落位置：</w:t>
      </w:r>
      <w:r>
        <w:rPr>
          <w:rFonts w:hint="eastAsia" w:ascii="仿宋_GB2312" w:hAnsi="仿宋_GB2312" w:eastAsia="仿宋_GB2312" w:cs="仿宋_GB2312"/>
          <w:sz w:val="28"/>
          <w:szCs w:val="28"/>
          <w:highlight w:val="none"/>
        </w:rPr>
        <w:t>东凤镇</w:t>
      </w:r>
      <w:r>
        <w:rPr>
          <w:rFonts w:hint="eastAsia" w:ascii="仿宋_GB2312" w:hAnsi="仿宋_GB2312" w:eastAsia="仿宋_GB2312" w:cs="仿宋_GB2312"/>
          <w:b w:val="0"/>
          <w:bCs w:val="0"/>
          <w:sz w:val="28"/>
          <w:szCs w:val="28"/>
          <w:highlight w:val="none"/>
          <w:lang w:val="en-US" w:eastAsia="zh-CN"/>
        </w:rPr>
        <w:t>和泰同吉路022-1</w:t>
      </w:r>
      <w:r>
        <w:rPr>
          <w:rFonts w:hint="eastAsia" w:ascii="仿宋_GB2312" w:hAnsi="仿宋_GB2312" w:eastAsia="仿宋_GB2312" w:cs="仿宋_GB2312"/>
          <w:sz w:val="28"/>
          <w:szCs w:val="28"/>
          <w:highlight w:val="none"/>
          <w:lang w:val="en-US" w:eastAsia="zh-CN"/>
        </w:rPr>
        <w:t>号</w:t>
      </w:r>
      <w:r>
        <w:rPr>
          <w:rFonts w:hint="eastAsia" w:ascii="仿宋_GB2312" w:hAnsi="仿宋_GB2312" w:eastAsia="仿宋_GB2312" w:cs="仿宋_GB2312"/>
          <w:sz w:val="28"/>
          <w:szCs w:val="28"/>
          <w:highlight w:val="none"/>
          <w:lang w:eastAsia="zh-CN"/>
        </w:rPr>
        <w:t>地块</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土地</w:t>
      </w:r>
      <w:r>
        <w:rPr>
          <w:rFonts w:hint="eastAsia" w:ascii="仿宋_GB2312" w:hAnsi="仿宋_GB2312" w:eastAsia="仿宋_GB2312" w:cs="仿宋_GB2312"/>
          <w:sz w:val="28"/>
          <w:szCs w:val="28"/>
        </w:rPr>
        <w:t>面积：</w:t>
      </w:r>
      <w:r>
        <w:rPr>
          <w:rFonts w:hint="eastAsia" w:ascii="仿宋_GB2312" w:hAnsi="仿宋_GB2312" w:eastAsia="仿宋_GB2312" w:cs="仿宋_GB2312"/>
          <w:sz w:val="28"/>
          <w:szCs w:val="28"/>
          <w:highlight w:val="none"/>
          <w:lang w:val="en-US" w:eastAsia="zh-CN"/>
        </w:rPr>
        <w:t>666.67</w:t>
      </w:r>
      <w:r>
        <w:rPr>
          <w:rFonts w:hint="eastAsia" w:ascii="仿宋_GB2312" w:hAnsi="仿宋_GB2312" w:eastAsia="仿宋_GB2312" w:cs="仿宋_GB2312"/>
          <w:sz w:val="28"/>
          <w:szCs w:val="28"/>
        </w:rPr>
        <w:t>平方米，折合</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rPr>
        <w:t>亩；</w:t>
      </w:r>
    </w:p>
    <w:p>
      <w:pPr>
        <w:spacing w:line="240" w:lineRule="auto"/>
        <w:ind w:firstLine="560" w:firstLineChars="200"/>
        <w:rPr>
          <w:rFonts w:ascii="仿宋_GB2312" w:hAnsi="仿宋_GB2312" w:eastAsia="仿宋_GB2312" w:cs="仿宋_GB2312"/>
          <w:kern w:val="0"/>
          <w:sz w:val="24"/>
          <w:shd w:val="clear" w:color="auto" w:fill="FFFFFF"/>
        </w:rPr>
      </w:pPr>
      <w:r>
        <w:rPr>
          <w:rFonts w:hint="eastAsia" w:ascii="仿宋_GB2312" w:hAnsi="仿宋_GB2312" w:eastAsia="仿宋_GB2312" w:cs="仿宋_GB2312"/>
          <w:sz w:val="28"/>
          <w:szCs w:val="28"/>
        </w:rPr>
        <w:t>二、土地情况：</w:t>
      </w:r>
      <w:r>
        <w:rPr>
          <w:rFonts w:hint="eastAsia" w:ascii="仿宋_GB2312" w:hAnsi="仿宋_GB2312" w:eastAsia="仿宋_GB2312" w:cs="仿宋_GB2312"/>
          <w:b w:val="0"/>
          <w:bCs w:val="0"/>
          <w:sz w:val="28"/>
          <w:szCs w:val="28"/>
          <w:lang w:val="en-US" w:eastAsia="zh-CN"/>
        </w:rPr>
        <w:t>临时停车用地</w:t>
      </w:r>
      <w:r>
        <w:rPr>
          <w:rFonts w:hint="eastAsia" w:ascii="仿宋_GB2312" w:hAnsi="仿宋_GB2312" w:eastAsia="仿宋_GB2312" w:cs="仿宋_GB2312"/>
          <w:kern w:val="2"/>
          <w:sz w:val="28"/>
          <w:szCs w:val="28"/>
          <w:shd w:val="clear" w:color="auto" w:fill="auto"/>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三、租赁方案：</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1、规划用途：只作</w:t>
      </w:r>
      <w:r>
        <w:rPr>
          <w:rFonts w:hint="eastAsia" w:ascii="仿宋_GB2312" w:hAnsi="仿宋_GB2312" w:eastAsia="仿宋_GB2312" w:cs="仿宋_GB2312"/>
          <w:b w:val="0"/>
          <w:bCs w:val="0"/>
          <w:sz w:val="28"/>
          <w:szCs w:val="28"/>
          <w:lang w:val="en-US" w:eastAsia="zh-CN"/>
        </w:rPr>
        <w:t>临时停车</w:t>
      </w:r>
      <w:r>
        <w:rPr>
          <w:rFonts w:hint="eastAsia" w:ascii="仿宋_GB2312" w:hAnsi="仿宋_GB2312" w:eastAsia="仿宋_GB2312" w:cs="仿宋_GB2312"/>
          <w:sz w:val="28"/>
          <w:szCs w:val="28"/>
          <w:lang w:eastAsia="zh-CN"/>
        </w:rPr>
        <w:t>使用</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eastAsia="zh-CN"/>
        </w:rPr>
        <w:t>得作其他</w:t>
      </w:r>
      <w:r>
        <w:rPr>
          <w:rFonts w:hint="eastAsia" w:ascii="仿宋_GB2312" w:hAnsi="仿宋_GB2312" w:eastAsia="仿宋_GB2312" w:cs="仿宋_GB2312"/>
          <w:sz w:val="28"/>
          <w:szCs w:val="28"/>
        </w:rPr>
        <w:t>用途；</w:t>
      </w:r>
    </w:p>
    <w:p>
      <w:pPr>
        <w:spacing w:line="24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2、租赁期限：</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b w:val="0"/>
          <w:bCs w:val="0"/>
          <w:sz w:val="28"/>
          <w:szCs w:val="28"/>
          <w:highlight w:val="none"/>
        </w:rPr>
        <w:t>年</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b w:val="0"/>
          <w:bCs w:val="0"/>
          <w:sz w:val="28"/>
          <w:szCs w:val="28"/>
          <w:highlight w:val="none"/>
          <w:lang w:val="en-US" w:eastAsia="zh-CN"/>
        </w:rPr>
        <w:t>12000.06</w:t>
      </w:r>
      <w:r>
        <w:rPr>
          <w:rFonts w:hint="eastAsia" w:ascii="仿宋_GB2312" w:hAnsi="仿宋_GB2312" w:eastAsia="仿宋_GB2312" w:cs="仿宋_GB2312"/>
          <w:b w:val="0"/>
          <w:bCs w:val="0"/>
          <w:sz w:val="28"/>
          <w:szCs w:val="28"/>
          <w:highlight w:val="none"/>
        </w:rPr>
        <w:t>元人民币；</w:t>
      </w:r>
    </w:p>
    <w:p>
      <w:pPr>
        <w:spacing w:line="240" w:lineRule="auto"/>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sz w:val="28"/>
          <w:szCs w:val="28"/>
        </w:rPr>
        <w:t>4、竞投租金底价及其他：</w:t>
      </w:r>
      <w:r>
        <w:rPr>
          <w:rFonts w:hint="eastAsia" w:ascii="仿宋_GB2312" w:hAnsi="仿宋_GB2312" w:eastAsia="仿宋_GB2312" w:cs="仿宋_GB2312"/>
          <w:b w:val="0"/>
          <w:bCs w:val="0"/>
          <w:color w:val="auto"/>
          <w:sz w:val="28"/>
          <w:szCs w:val="28"/>
        </w:rPr>
        <w:t>每</w:t>
      </w:r>
      <w:r>
        <w:rPr>
          <w:rFonts w:hint="eastAsia" w:ascii="仿宋_GB2312" w:hAnsi="仿宋_GB2312" w:eastAsia="仿宋_GB2312" w:cs="仿宋_GB2312"/>
          <w:b w:val="0"/>
          <w:bCs w:val="0"/>
          <w:color w:val="auto"/>
          <w:sz w:val="28"/>
          <w:szCs w:val="28"/>
          <w:lang w:val="en-US" w:eastAsia="zh-CN"/>
        </w:rPr>
        <w:t>月租金</w:t>
      </w:r>
      <w:r>
        <w:rPr>
          <w:rFonts w:hint="eastAsia" w:ascii="仿宋_GB2312" w:hAnsi="仿宋_GB2312" w:eastAsia="仿宋_GB2312" w:cs="仿宋_GB2312"/>
          <w:b w:val="0"/>
          <w:bCs w:val="0"/>
          <w:color w:val="auto"/>
          <w:sz w:val="28"/>
          <w:szCs w:val="28"/>
          <w:highlight w:val="none"/>
          <w:lang w:val="en-US" w:eastAsia="zh-CN"/>
        </w:rPr>
        <w:t>4000.02元，折合每月6元/平方米</w:t>
      </w:r>
      <w:r>
        <w:rPr>
          <w:rFonts w:hint="eastAsia" w:ascii="仿宋_GB2312" w:hAnsi="仿宋_GB2312" w:eastAsia="仿宋_GB2312" w:cs="仿宋_GB2312"/>
          <w:b w:val="0"/>
          <w:bCs w:val="0"/>
          <w:color w:val="auto"/>
          <w:sz w:val="28"/>
          <w:szCs w:val="28"/>
        </w:rPr>
        <w:t>；</w:t>
      </w:r>
    </w:p>
    <w:p>
      <w:pPr>
        <w:ind w:firstLine="560" w:firstLineChars="200"/>
        <w:rPr>
          <w:rFonts w:hint="eastAsia" w:eastAsia="仿宋_GB2312"/>
          <w:highlight w:val="none"/>
          <w:lang w:eastAsia="zh-CN"/>
        </w:rPr>
      </w:pPr>
      <w:r>
        <w:rPr>
          <w:rFonts w:hint="eastAsia" w:ascii="仿宋_GB2312" w:hAnsi="仿宋_GB2312" w:eastAsia="仿宋_GB2312" w:cs="仿宋_GB2312"/>
          <w:sz w:val="28"/>
          <w:szCs w:val="28"/>
          <w:highlight w:val="none"/>
        </w:rPr>
        <w:t>5、租金缴纳方式：</w:t>
      </w:r>
      <w:r>
        <w:rPr>
          <w:rFonts w:hint="eastAsia" w:ascii="仿宋_GB2312" w:hAnsi="仿宋_GB2312" w:eastAsia="仿宋_GB2312" w:cs="仿宋_GB2312"/>
          <w:b w:val="0"/>
          <w:bCs w:val="0"/>
          <w:color w:val="auto"/>
          <w:sz w:val="28"/>
          <w:szCs w:val="28"/>
          <w:highlight w:val="none"/>
        </w:rPr>
        <w:t>缴</w:t>
      </w:r>
      <w:r>
        <w:rPr>
          <w:rFonts w:hint="eastAsia" w:ascii="仿宋_GB2312" w:hAnsi="仿宋_GB2312" w:eastAsia="仿宋_GB2312" w:cs="仿宋_GB2312"/>
          <w:b w:val="0"/>
          <w:bCs w:val="0"/>
          <w:color w:val="auto"/>
          <w:sz w:val="28"/>
          <w:szCs w:val="28"/>
          <w:highlight w:val="none"/>
          <w:lang w:val="en-US" w:eastAsia="zh-CN"/>
        </w:rPr>
        <w:t>交至镇资产公司账户</w:t>
      </w:r>
      <w:r>
        <w:rPr>
          <w:rFonts w:hint="eastAsia" w:ascii="仿宋_GB2312" w:hAnsi="仿宋_GB2312" w:eastAsia="仿宋_GB2312" w:cs="仿宋_GB2312"/>
          <w:b w:val="0"/>
          <w:bCs w:val="0"/>
          <w:color w:val="auto"/>
          <w:sz w:val="28"/>
          <w:szCs w:val="28"/>
          <w:highlight w:val="none"/>
        </w:rPr>
        <w:t>，按</w:t>
      </w:r>
      <w:r>
        <w:rPr>
          <w:rFonts w:hint="eastAsia" w:ascii="仿宋_GB2312" w:hAnsi="仿宋_GB2312" w:eastAsia="仿宋_GB2312" w:cs="仿宋_GB2312"/>
          <w:b w:val="0"/>
          <w:bCs w:val="0"/>
          <w:color w:val="auto"/>
          <w:sz w:val="28"/>
          <w:szCs w:val="28"/>
          <w:highlight w:val="none"/>
          <w:lang w:val="en-US" w:eastAsia="zh-CN"/>
        </w:rPr>
        <w:t>月</w:t>
      </w:r>
      <w:r>
        <w:rPr>
          <w:rFonts w:hint="eastAsia" w:ascii="仿宋_GB2312" w:hAnsi="仿宋_GB2312" w:eastAsia="仿宋_GB2312" w:cs="仿宋_GB2312"/>
          <w:b w:val="0"/>
          <w:bCs w:val="0"/>
          <w:color w:val="auto"/>
          <w:sz w:val="28"/>
          <w:szCs w:val="28"/>
          <w:highlight w:val="none"/>
        </w:rPr>
        <w:t>支付租金</w:t>
      </w:r>
      <w:r>
        <w:rPr>
          <w:rFonts w:hint="eastAsia" w:ascii="仿宋_GB2312" w:hAnsi="仿宋_GB2312" w:eastAsia="仿宋_GB2312" w:cs="仿宋_GB2312"/>
          <w:b w:val="0"/>
          <w:bCs w:val="0"/>
          <w:color w:val="auto"/>
          <w:sz w:val="28"/>
          <w:szCs w:val="28"/>
          <w:highlight w:val="none"/>
          <w:lang w:eastAsia="zh-CN"/>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、计租时间：</w:t>
      </w:r>
      <w:r>
        <w:rPr>
          <w:rFonts w:hint="eastAsia" w:ascii="仿宋_GB2312" w:hAnsi="仿宋_GB2312" w:eastAsia="仿宋_GB2312" w:cs="仿宋_GB2312"/>
          <w:b w:val="0"/>
          <w:bCs w:val="0"/>
          <w:sz w:val="28"/>
          <w:szCs w:val="28"/>
          <w:lang w:val="en-US" w:eastAsia="zh-CN"/>
        </w:rPr>
        <w:t>无免租期</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四、投标报名：</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1、参与竞投者须缴纳投标保证金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缴纳保证金账号必须与竞投者保持一致</w:t>
      </w:r>
      <w:r>
        <w:rPr>
          <w:rFonts w:hint="eastAsia" w:ascii="仿宋_GB2312" w:hAnsi="仿宋_GB2312" w:eastAsia="仿宋_GB2312" w:cs="仿宋_GB2312"/>
          <w:sz w:val="28"/>
          <w:szCs w:val="28"/>
          <w:highlight w:val="none"/>
        </w:rPr>
        <w:t>，投标保证金为</w:t>
      </w:r>
      <w:r>
        <w:rPr>
          <w:rFonts w:hint="eastAsia" w:ascii="仿宋_GB2312" w:hAnsi="仿宋_GB2312" w:eastAsia="仿宋_GB2312" w:cs="仿宋_GB2312"/>
          <w:sz w:val="28"/>
          <w:szCs w:val="28"/>
          <w:highlight w:val="none"/>
          <w:lang w:val="en-US" w:eastAsia="zh-CN"/>
        </w:rPr>
        <w:t>12000.06</w:t>
      </w:r>
      <w:r>
        <w:rPr>
          <w:rFonts w:hint="eastAsia" w:ascii="仿宋_GB2312" w:hAnsi="仿宋_GB2312" w:eastAsia="仿宋_GB2312" w:cs="仿宋_GB2312"/>
          <w:b w:val="0"/>
          <w:bCs w:val="0"/>
          <w:sz w:val="28"/>
          <w:szCs w:val="28"/>
          <w:highlight w:val="none"/>
        </w:rPr>
        <w:t>元人民币，竞投者</w:t>
      </w:r>
      <w:r>
        <w:rPr>
          <w:rFonts w:hint="eastAsia" w:ascii="仿宋_GB2312" w:hAnsi="仿宋_GB2312" w:eastAsia="仿宋_GB2312" w:cs="仿宋_GB2312"/>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3</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28</w:t>
      </w:r>
      <w:r>
        <w:rPr>
          <w:rFonts w:hint="eastAsia" w:ascii="仿宋_GB2312" w:hAnsi="仿宋_GB2312" w:eastAsia="仿宋_GB2312" w:cs="仿宋_GB2312"/>
          <w:sz w:val="28"/>
          <w:szCs w:val="28"/>
          <w:highlight w:val="none"/>
        </w:rPr>
        <w:t>日 16：00前自行到兴业银行中山小榄支行缴纳（银行名称：兴业银行中山小榄支行，单位名称：中山市东凤镇集体资产管理有限公司，账号：396020100100186100）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rPr>
        <w:t>未中标者</w:t>
      </w:r>
      <w:r>
        <w:rPr>
          <w:rFonts w:hint="eastAsia" w:ascii="仿宋_GB2312" w:hAnsi="仿宋_GB2312" w:eastAsia="仿宋_GB2312" w:cs="仿宋_GB2312"/>
          <w:sz w:val="28"/>
          <w:szCs w:val="28"/>
          <w:highlight w:val="none"/>
          <w:lang w:eastAsia="zh-CN"/>
        </w:rPr>
        <w:t>凭</w:t>
      </w:r>
      <w:r>
        <w:rPr>
          <w:rFonts w:hint="eastAsia" w:ascii="仿宋_GB2312" w:hAnsi="仿宋_GB2312" w:eastAsia="仿宋_GB2312" w:cs="仿宋_GB2312"/>
          <w:sz w:val="28"/>
          <w:szCs w:val="28"/>
          <w:highlight w:val="none"/>
          <w:lang w:val="en-US" w:eastAsia="zh-CN"/>
        </w:rPr>
        <w:t>保证金缴款单回执办理退回手续，</w:t>
      </w:r>
      <w:r>
        <w:rPr>
          <w:rFonts w:hint="eastAsia" w:ascii="仿宋_GB2312" w:hAnsi="仿宋_GB2312" w:eastAsia="仿宋_GB2312" w:cs="仿宋_GB2312"/>
          <w:sz w:val="28"/>
          <w:szCs w:val="28"/>
          <w:highlight w:val="none"/>
        </w:rPr>
        <w:t>我司</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个工作日内退还保证金本金</w:t>
      </w:r>
      <w:r>
        <w:rPr>
          <w:rFonts w:hint="eastAsia" w:ascii="仿宋_GB2312" w:hAnsi="仿宋_GB2312" w:eastAsia="仿宋_GB2312" w:cs="仿宋_GB2312"/>
          <w:sz w:val="28"/>
          <w:szCs w:val="28"/>
          <w:highlight w:val="none"/>
          <w:lang w:eastAsia="zh-CN"/>
        </w:rPr>
        <w:t>。</w:t>
      </w:r>
      <w:r>
        <w:rPr>
          <w:rFonts w:hint="eastAsia" w:ascii="仿宋_GB2312" w:hAnsi="仿宋" w:eastAsia="仿宋_GB2312" w:cs="Arial"/>
          <w:color w:val="000000"/>
          <w:kern w:val="0"/>
          <w:sz w:val="28"/>
          <w:szCs w:val="28"/>
          <w:highlight w:val="none"/>
          <w:lang w:val="en-US" w:eastAsia="zh-CN"/>
        </w:rPr>
        <w:t>中标者投标保证金自动转为合同履约金后，</w:t>
      </w:r>
      <w:r>
        <w:rPr>
          <w:rFonts w:hint="eastAsia" w:ascii="仿宋_GB2312" w:hAnsi="仿宋_GB2312" w:eastAsia="仿宋_GB2312" w:cs="仿宋_GB2312"/>
          <w:sz w:val="28"/>
          <w:szCs w:val="28"/>
          <w:lang w:eastAsia="zh-CN"/>
        </w:rPr>
        <w:t>不足部分应于签订合同前按时缴清。合同履约保证金为3个月租金（按中标价）。</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sz w:val="28"/>
          <w:szCs w:val="28"/>
          <w:lang w:val="en-US" w:eastAsia="zh-CN"/>
        </w:rPr>
        <w:t>参与竞投者需具备独立法人资格的限上企业，</w:t>
      </w:r>
      <w:r>
        <w:rPr>
          <w:rFonts w:hint="eastAsia" w:ascii="仿宋_GB2312" w:hAnsi="仿宋_GB2312" w:eastAsia="仿宋_GB2312" w:cs="仿宋_GB2312"/>
          <w:color w:val="auto"/>
          <w:sz w:val="28"/>
          <w:szCs w:val="28"/>
        </w:rPr>
        <w:t>在报名截止前携带</w:t>
      </w:r>
      <w:r>
        <w:rPr>
          <w:rFonts w:hint="eastAsia" w:ascii="仿宋_GB2312" w:hAnsi="仿宋_GB2312" w:eastAsia="仿宋_GB2312" w:cs="仿宋_GB2312"/>
          <w:color w:val="auto"/>
          <w:sz w:val="28"/>
          <w:szCs w:val="28"/>
          <w:lang w:val="en-US" w:eastAsia="zh-CN"/>
        </w:rPr>
        <w:t>限上企业证明、个</w:t>
      </w:r>
      <w:r>
        <w:rPr>
          <w:rFonts w:hint="eastAsia" w:ascii="仿宋_GB2312" w:hAnsi="仿宋_GB2312" w:eastAsia="仿宋_GB2312" w:cs="仿宋_GB2312"/>
          <w:color w:val="auto"/>
          <w:sz w:val="28"/>
          <w:szCs w:val="28"/>
        </w:rPr>
        <w:t>人身份证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法人身份证、营业执照、保证金缴款单回执等资料到我司进行登记，领取投标确认书参加投标。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val="0"/>
          <w:bCs w:val="0"/>
          <w:color w:val="auto"/>
          <w:sz w:val="28"/>
          <w:szCs w:val="28"/>
        </w:rPr>
        <w:t>招标人不组织现场踏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，投标人须自行对租赁物进行踏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，了解租赁物现状情况</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以土地现状交付使用</w:t>
      </w:r>
      <w:r>
        <w:rPr>
          <w:rFonts w:hint="eastAsia" w:ascii="仿宋_GB2312" w:hAnsi="仿宋_GB2312" w:eastAsia="仿宋_GB2312" w:cs="仿宋_GB2312"/>
          <w:b w:val="0"/>
          <w:bCs w:val="0"/>
          <w:color w:val="auto"/>
          <w:sz w:val="28"/>
          <w:szCs w:val="28"/>
        </w:rPr>
        <w:t>。</w:t>
      </w:r>
    </w:p>
    <w:p>
      <w:pPr>
        <w:spacing w:line="240" w:lineRule="auto"/>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b w:val="0"/>
          <w:bCs w:val="0"/>
          <w:sz w:val="28"/>
          <w:szCs w:val="28"/>
          <w:highlight w:val="none"/>
        </w:rPr>
        <w:t>如项目用地在租赁期间涉及违法用地相关情况，承租方无条件服从处理，相关费用及责任由承租方承担，如承租方在整改期内未完成整改，我司有权使用承租方所缴纳的按金用于处理该地块的违法用地所产生的费用。</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五、投标：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1、招投标方式和评标办法：采取现场明标出价方式竞投，出价最高且高于底价者为中标单位。</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2、第一次竞价可平价，之后每次竞价增加幅度不少于</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月租金</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3、如参与竞投者本人无法到场、则代理人需携带委托书和身份证复印件（需加盖公章）到场代理参与竞标。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4、不限参加竞投单位数量，如只有一家单位登记竞租也正常开标。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六、招投标时间安排：</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竞标报名截止：</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3</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28</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rPr>
        <w:t>16：00；</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公开竞标日期：</w:t>
      </w:r>
      <w:r>
        <w:rPr>
          <w:rFonts w:hint="eastAsia" w:ascii="仿宋_GB2312" w:hAnsi="仿宋_GB2312" w:eastAsia="仿宋_GB2312" w:cs="仿宋_GB2312"/>
          <w:i w:val="0"/>
          <w:caps w:val="0"/>
          <w:spacing w:val="0"/>
          <w:sz w:val="28"/>
          <w:szCs w:val="28"/>
        </w:rPr>
        <w:t>202</w:t>
      </w:r>
      <w:r>
        <w:rPr>
          <w:rFonts w:hint="eastAsia" w:ascii="仿宋_GB2312" w:hAnsi="仿宋_GB2312" w:eastAsia="仿宋_GB2312" w:cs="仿宋_GB2312"/>
          <w:i w:val="0"/>
          <w:caps w:val="0"/>
          <w:spacing w:val="0"/>
          <w:sz w:val="28"/>
          <w:szCs w:val="28"/>
          <w:lang w:val="en-US" w:eastAsia="zh-CN"/>
        </w:rPr>
        <w:t>3</w:t>
      </w:r>
      <w:r>
        <w:rPr>
          <w:rFonts w:hint="eastAsia" w:ascii="仿宋_GB2312" w:hAnsi="仿宋_GB2312" w:eastAsia="仿宋_GB2312" w:cs="仿宋_GB2312"/>
          <w:i w:val="0"/>
          <w:caps w:val="0"/>
          <w:spacing w:val="0"/>
          <w:sz w:val="28"/>
          <w:szCs w:val="28"/>
        </w:rPr>
        <w:t>年</w:t>
      </w:r>
      <w:r>
        <w:rPr>
          <w:rFonts w:hint="eastAsia" w:ascii="仿宋_GB2312" w:hAnsi="仿宋_GB2312" w:eastAsia="仿宋_GB2312" w:cs="仿宋_GB2312"/>
          <w:i w:val="0"/>
          <w:caps w:val="0"/>
          <w:color w:val="auto"/>
          <w:spacing w:val="0"/>
          <w:sz w:val="28"/>
          <w:szCs w:val="28"/>
          <w:highlight w:val="none"/>
          <w:lang w:val="en-US" w:eastAsia="zh-CN"/>
        </w:rPr>
        <w:t xml:space="preserve"> 12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29</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公开竞标地址：东凤镇凤翔大道13号综治信访维稳中心五楼开标室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地点有变化将会电话通知）</w:t>
      </w:r>
      <w:r>
        <w:rPr>
          <w:rFonts w:hint="eastAsia" w:ascii="仿宋_GB2312" w:hAnsi="仿宋_GB2312" w:eastAsia="仿宋_GB2312" w:cs="仿宋_GB2312"/>
          <w:color w:val="auto"/>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竞标者迟到10分钟以上作弃权处理；</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1、中标单位必须</w:t>
      </w:r>
      <w:r>
        <w:rPr>
          <w:rFonts w:hint="eastAsia" w:ascii="仿宋_GB2312" w:hAnsi="仿宋_GB2312" w:eastAsia="仿宋_GB2312" w:cs="仿宋_GB2312"/>
          <w:sz w:val="28"/>
          <w:szCs w:val="28"/>
          <w:lang w:val="en-US" w:eastAsia="zh-CN"/>
        </w:rPr>
        <w:t>中标公示后5</w:t>
      </w:r>
      <w:r>
        <w:rPr>
          <w:rFonts w:hint="eastAsia" w:ascii="仿宋_GB2312" w:hAnsi="仿宋_GB2312" w:eastAsia="仿宋_GB2312" w:cs="仿宋_GB2312"/>
          <w:sz w:val="28"/>
          <w:szCs w:val="28"/>
        </w:rPr>
        <w:t>个工作日内缴清</w:t>
      </w:r>
      <w:r>
        <w:rPr>
          <w:rFonts w:hint="eastAsia" w:ascii="仿宋_GB2312" w:hAnsi="仿宋_GB2312" w:eastAsia="仿宋_GB2312" w:cs="仿宋_GB2312"/>
          <w:sz w:val="28"/>
          <w:szCs w:val="28"/>
          <w:lang w:eastAsia="zh-CN"/>
        </w:rPr>
        <w:t>合同履约金</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合同，逾期不签订合同，则视作弃标处理，并没收投标保证金。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2、中标者在合同期内，</w:t>
      </w:r>
      <w:r>
        <w:rPr>
          <w:rFonts w:hint="eastAsia" w:ascii="仿宋_GB2312" w:hAnsi="仿宋_GB2312" w:eastAsia="仿宋_GB2312" w:cs="仿宋_GB2312"/>
          <w:b/>
          <w:bCs/>
          <w:sz w:val="28"/>
          <w:szCs w:val="28"/>
          <w:highlight w:val="none"/>
          <w:lang w:val="en-US" w:eastAsia="zh-CN"/>
        </w:rPr>
        <w:t>未经业主方书面同意不得将租赁物转租、分租给第三方</w:t>
      </w:r>
      <w:r>
        <w:rPr>
          <w:rFonts w:hint="eastAsia" w:ascii="仿宋_GB2312" w:hAnsi="仿宋_GB2312" w:eastAsia="仿宋_GB2312" w:cs="仿宋_GB2312"/>
          <w:sz w:val="28"/>
          <w:szCs w:val="28"/>
          <w:highlight w:val="none"/>
          <w:lang w:val="en-US" w:eastAsia="zh-CN"/>
        </w:rPr>
        <w:t>。</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、其他租赁条款于租赁合同中约定。</w:t>
      </w:r>
      <w:bookmarkStart w:id="0" w:name="_GoBack"/>
      <w:bookmarkEnd w:id="0"/>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、此租赁方案最终解释权归我司。</w:t>
      </w:r>
    </w:p>
    <w:p>
      <w:pPr>
        <w:spacing w:line="240" w:lineRule="auto"/>
        <w:ind w:firstLine="560" w:firstLineChars="200"/>
        <w:rPr>
          <w:rFonts w:hint="eastAsia" w:ascii="仿宋_GB2312" w:hAnsi="仿宋_GB2312" w:eastAsia="仿宋_GB2312" w:cs="仿宋_GB2312"/>
          <w:sz w:val="28"/>
          <w:szCs w:val="28"/>
        </w:rPr>
      </w:pP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中山市东凤镇集体资产管理有限公司</w:t>
      </w: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i w:val="0"/>
          <w:caps w:val="0"/>
          <w:spacing w:val="0"/>
          <w:sz w:val="28"/>
          <w:szCs w:val="28"/>
        </w:rPr>
        <w:t>202</w:t>
      </w:r>
      <w:r>
        <w:rPr>
          <w:rFonts w:hint="eastAsia" w:ascii="仿宋_GB2312" w:hAnsi="仿宋_GB2312" w:eastAsia="仿宋_GB2312" w:cs="仿宋_GB2312"/>
          <w:i w:val="0"/>
          <w:caps w:val="0"/>
          <w:spacing w:val="0"/>
          <w:sz w:val="28"/>
          <w:szCs w:val="28"/>
          <w:lang w:val="en-US" w:eastAsia="zh-CN"/>
        </w:rPr>
        <w:t>3</w:t>
      </w:r>
      <w:r>
        <w:rPr>
          <w:rFonts w:hint="eastAsia" w:ascii="仿宋_GB2312" w:hAnsi="仿宋_GB2312" w:eastAsia="仿宋_GB2312" w:cs="仿宋_GB2312"/>
          <w:i w:val="0"/>
          <w:caps w:val="0"/>
          <w:spacing w:val="0"/>
          <w:sz w:val="28"/>
          <w:szCs w:val="28"/>
        </w:rPr>
        <w:t>年</w:t>
      </w:r>
      <w:r>
        <w:rPr>
          <w:rFonts w:hint="eastAsia" w:ascii="仿宋_GB2312" w:hAnsi="仿宋_GB2312" w:eastAsia="仿宋_GB2312" w:cs="仿宋_GB2312"/>
          <w:i w:val="0"/>
          <w:caps w:val="0"/>
          <w:spacing w:val="0"/>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日</w:t>
      </w:r>
    </w:p>
    <w:p>
      <w:pPr>
        <w:spacing w:line="240" w:lineRule="auto"/>
        <w:ind w:firstLine="0" w:firstLineChars="0"/>
        <w:rPr>
          <w:rFonts w:hint="eastAsia" w:ascii="仿宋_GB2312" w:hAnsi="仿宋_GB2312" w:eastAsia="仿宋_GB2312" w:cs="仿宋_GB2312"/>
          <w:bCs w:val="0"/>
          <w:sz w:val="28"/>
          <w:szCs w:val="28"/>
          <w:lang w:eastAsia="zh-CN"/>
        </w:rPr>
      </w:pPr>
    </w:p>
    <w:p>
      <w:pPr>
        <w:spacing w:line="240" w:lineRule="auto"/>
        <w:ind w:firstLine="560" w:firstLineChars="200"/>
      </w:pPr>
      <w:r>
        <w:rPr>
          <w:rFonts w:hint="eastAsia" w:ascii="仿宋_GB2312" w:hAnsi="仿宋_GB2312" w:eastAsia="仿宋_GB2312" w:cs="仿宋_GB2312"/>
          <w:bCs w:val="0"/>
          <w:sz w:val="28"/>
          <w:szCs w:val="28"/>
          <w:lang w:eastAsia="zh-CN"/>
        </w:rPr>
        <w:t>参加投标人员签名：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Tk5NDhmYzExOTY3OTdkNmEwOTUzNzg0ZjFlMDYifQ=="/>
  </w:docVars>
  <w:rsids>
    <w:rsidRoot w:val="2CA4386C"/>
    <w:rsid w:val="026B1BFC"/>
    <w:rsid w:val="1F981B35"/>
    <w:rsid w:val="218A582A"/>
    <w:rsid w:val="22BC5D01"/>
    <w:rsid w:val="2B1400C8"/>
    <w:rsid w:val="2CA4386C"/>
    <w:rsid w:val="2D9B6278"/>
    <w:rsid w:val="348A7C3F"/>
    <w:rsid w:val="3BB074BD"/>
    <w:rsid w:val="3BD3436A"/>
    <w:rsid w:val="42D70FD5"/>
    <w:rsid w:val="47470079"/>
    <w:rsid w:val="47F5266B"/>
    <w:rsid w:val="4FAF23CA"/>
    <w:rsid w:val="5D791A53"/>
    <w:rsid w:val="67A86A9A"/>
    <w:rsid w:val="77A9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何绮淇</cp:lastModifiedBy>
  <dcterms:modified xsi:type="dcterms:W3CDTF">2024-01-17T11:13:33Z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648165A8AFC34F7AB68430B2B6A9C24F_13</vt:lpwstr>
  </property>
</Properties>
</file>