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用户需求书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社会组织法人变更注销审计工作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具体要求如下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eastAsia="zh-CN"/>
        </w:rPr>
        <w:t>：</w:t>
      </w:r>
    </w:p>
    <w:p>
      <w:pPr>
        <w:numPr>
          <w:ilvl w:val="0"/>
          <w:numId w:val="1"/>
        </w:num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服务范围：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2024年1月至2024年12月31日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），对所有申请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法定代表人变更及注销登记的社会组织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进行法定代表人离任审计或注销清算审计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注销清算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审计须</w:t>
      </w:r>
      <w:r>
        <w:rPr>
          <w:rFonts w:hint="eastAsia" w:ascii="仿宋_GB2312" w:hAnsi="仿宋_GB2312" w:eastAsia="仿宋_GB2312" w:cs="仿宋_GB2312"/>
          <w:sz w:val="32"/>
          <w:szCs w:val="32"/>
        </w:rPr>
        <w:t>追溯前两个年度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（即共审计三个年度）。 </w:t>
      </w:r>
    </w:p>
    <w:p>
      <w:pPr>
        <w:numPr>
          <w:ilvl w:val="0"/>
          <w:numId w:val="1"/>
        </w:numPr>
        <w:spacing w:line="2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审计内容：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是否执行《民间非营利组织会计制度》；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是否建立内部管理制度、财务制度并严格执行；是否严格按照核准备案的标准收取会费或其他费用；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是否有收到专项资金，若有，是否按规定用途使用，是否合理列支相关费用；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是否有代收政府行政性收费情况，若有，是否严格按标准收取；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是否有国家公职人员在协会任职或兼职，获得报酬情况；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是否存在利润分配或变相分配的情况;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违反开办资金为捐助财产要求，违规向出资人等返还开办资金的情况；8、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使用其他组织或个人银行账户进行账务往来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的情况；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kern w:val="2"/>
          <w:sz w:val="32"/>
          <w:szCs w:val="32"/>
          <w:lang w:val="en-US" w:eastAsia="zh-CN"/>
        </w:rPr>
        <w:t>9、是否存在支出超出章程规定的业务活动范围的情况；10、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是否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将大额财产长期无偿交由或出借给其他组织、个人不收回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的情况；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社会组织清算后该组织债权债务、剩余财产处理等情况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根据已查明的事实，对被审计单位业务活动、内部控制和风险管理作出评价，同时对被审计单位发现的主要问题提出处理意见及改善业务活动、内部控制和风险管理的建议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其他检查过程中发现的问题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14、按要求出具审计报告。</w:t>
      </w:r>
    </w:p>
    <w:p>
      <w:pPr>
        <w:numPr>
          <w:ilvl w:val="0"/>
          <w:numId w:val="1"/>
        </w:numPr>
        <w:spacing w:line="220" w:lineRule="atLeast"/>
        <w:ind w:firstLine="640" w:firstLineChars="200"/>
        <w:rPr>
          <w:rFonts w:hint="eastAsia"/>
          <w:color w:val="C0000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成果提交时间及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成立专项审计组（至少10人），在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被审计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一个工作日内完成联络工作，在被审计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审计所需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个工作日内（若因特殊情况需延长工作时间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书面告知</w:t>
      </w:r>
      <w:r>
        <w:rPr>
          <w:rFonts w:hint="eastAsia" w:ascii="仿宋_GB2312" w:hAnsi="仿宋_GB2312" w:eastAsia="仿宋_GB2312" w:cs="仿宋_GB2312"/>
          <w:sz w:val="32"/>
          <w:szCs w:val="32"/>
        </w:rPr>
        <w:t>，最长不超过1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个工作日）完成审计工作，出具审计报告一式两份，并于2个工作日内送达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做实做细审计工作，找准找实存在问题。对所有被审计单位进行现场核查核实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3、对于</w:t>
      </w:r>
      <w:r>
        <w:rPr>
          <w:rFonts w:hint="eastAsia" w:ascii="仿宋_GB2312" w:hAnsi="仿宋_GB2312" w:eastAsia="仿宋_GB2312" w:cs="仿宋_GB2312"/>
          <w:sz w:val="32"/>
          <w:szCs w:val="32"/>
        </w:rPr>
        <w:t>多次催收仍无法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（拒绝）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提供资料的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被审计单位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向我局反馈后，取消该次审计服务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；4、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针对审计报告披露的社会组织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在财务管理方面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问题，另行书面作出风险提示定期提交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我局（原则上一个服务期内不少于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，并定期与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相关人员沟通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根据工作进度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中期工作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和履约评估自评报告；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6、收集提交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被审计单位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进行履约评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价的资料（离任审计的履约评价资料需加盖单位公章；注销清算审计的履约评价意见，若被审计单位公章已报废，应由其法人予以签名确认）；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7、申请单位根据审计发现问题整改之后，审计单位需对整改报告提出专业意见。</w:t>
      </w:r>
      <w:bookmarkStart w:id="0" w:name="_GoBack"/>
      <w:bookmarkEnd w:id="0"/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445BE"/>
    <w:multiLevelType w:val="singleLevel"/>
    <w:tmpl w:val="565445BE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2580ED5"/>
    <w:rsid w:val="63662621"/>
    <w:rsid w:val="6A2D2040"/>
    <w:rsid w:val="6A6D5FD9"/>
    <w:rsid w:val="7AE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2024-01-12T02:30:35Z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4A25F5D982E846839E196FC86D38BCDB</vt:lpwstr>
  </property>
</Properties>
</file>