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  <w:t>挂牌督办重大火灾隐患单位名录</w:t>
      </w:r>
    </w:p>
    <w:p>
      <w:pPr>
        <w:rPr>
          <w:rFonts w:hint="eastAsia"/>
          <w:lang w:eastAsia="zh-CN"/>
        </w:rPr>
      </w:pPr>
    </w:p>
    <w:tbl>
      <w:tblPr>
        <w:tblStyle w:val="4"/>
        <w:tblW w:w="15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988"/>
        <w:gridCol w:w="1462"/>
        <w:gridCol w:w="1075"/>
        <w:gridCol w:w="1488"/>
        <w:gridCol w:w="4462"/>
        <w:gridCol w:w="2199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tblHeader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重大隐患情况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挂牌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督办时间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责令整改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</w:rPr>
              <w:t>销案时间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鸿泰工业大厦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中山市板芙镇湖洲村沙沟工业区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刘志文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13823901439</w:t>
            </w:r>
          </w:p>
        </w:tc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人员密集场所内疏散楼梯间未设置封闭楼梯间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，不符合《建筑防火通用规范》 GB55037-2022第7.2.2 条的规定，符合《重大火灾隐患判定方法》（GB35181-- 2017）第7.3.2条判定要素；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未设置疏散指示标志、应急照明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不符合《建筑防火通用规范》GB55037-2022 第7.1.5条的规定，符合《重大火灾隐患判定方法》（GB35181-- 2017）第7.3.6条判定要素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人员密集场所疏散门和安全出口设置不符合消防技术标准要求（设置了栅栏、卷闸门），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不符合《建筑防火通用规范》GB55037-2022第7.1.6条的规定，符合《重大火灾隐患判定方法》（GB35181-- 2017）第7.3.9条判定要素。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日前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B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Times New Roman" w:hAnsi="Times New Roman" w:eastAsia="仿宋_GB2312" w:cs="Times New Roman"/>
      <w:spacing w:val="-6"/>
      <w:kern w:val="3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  <w:jc w:val="both"/>
      <w:textAlignment w:val="baseline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suppressLineNumbers w:val="0"/>
      <w:tabs>
        <w:tab w:val="center" w:pos="4153"/>
        <w:tab w:val="right" w:pos="8306"/>
      </w:tabs>
      <w:adjustRightInd/>
      <w:spacing w:line="240" w:lineRule="auto"/>
      <w:jc w:val="left"/>
    </w:pPr>
    <w:rPr>
      <w:rFonts w:eastAsia="宋体"/>
      <w:spacing w:val="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2023-12-25T09:48:40Z</dcterms:created>
  <dc:creator>Administrator</dc:creator>
  <cp:lastModifiedBy>郑伟权</cp:lastModifiedBy>
  <dcterms:modified xsi:type="dcterms:W3CDTF">2023-12-25T09:48:49Z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EE2461095081445284C8AF441C12A46C</vt:lpwstr>
  </property>
</Properties>
</file>