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numPr>
          <w:ilvl w:val="0"/>
          <w:numId w:val="0"/>
        </w:numPr>
        <w:spacing w:line="560" w:lineRule="atLeast"/>
        <w:ind w:firstLine="904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中国中山留学人员创业园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2"/>
          <w:sz w:val="44"/>
          <w:szCs w:val="44"/>
          <w:highlight w:val="none"/>
        </w:rPr>
        <w:t>创业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2"/>
          <w:sz w:val="44"/>
          <w:szCs w:val="44"/>
          <w:highlight w:val="none"/>
          <w:lang w:eastAsia="zh-CN"/>
        </w:rPr>
        <w:t>扶持资金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资助额度及专业服务机构项目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firstLine="904" w:firstLineChars="2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推荐奖励明细表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7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850"/>
        <w:gridCol w:w="2656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综合得分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创业扶持资金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项目推荐奖励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得分＜60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不予资助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60≤得分＜65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50万元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65≤得分＜70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70万元</w:t>
            </w:r>
          </w:p>
        </w:tc>
        <w:tc>
          <w:tcPr>
            <w:tcW w:w="2459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70≤得分＜75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90万元</w:t>
            </w:r>
          </w:p>
        </w:tc>
        <w:tc>
          <w:tcPr>
            <w:tcW w:w="245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75≤得分＜80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110万元</w:t>
            </w:r>
          </w:p>
        </w:tc>
        <w:tc>
          <w:tcPr>
            <w:tcW w:w="2459" w:type="dxa"/>
            <w:vMerge w:val="restart"/>
            <w:noWrap w:val="0"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80≤得分＜85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130万元</w:t>
            </w:r>
          </w:p>
        </w:tc>
        <w:tc>
          <w:tcPr>
            <w:tcW w:w="2459" w:type="dxa"/>
            <w:vMerge w:val="continue"/>
            <w:noWrap w:val="0"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85≤得分＜90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150万元</w:t>
            </w:r>
          </w:p>
        </w:tc>
        <w:tc>
          <w:tcPr>
            <w:tcW w:w="2459" w:type="dxa"/>
            <w:vMerge w:val="restart"/>
            <w:noWrap w:val="0"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90≤得分＜95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170万元</w:t>
            </w:r>
          </w:p>
        </w:tc>
        <w:tc>
          <w:tcPr>
            <w:tcW w:w="2459" w:type="dxa"/>
            <w:vMerge w:val="continue"/>
            <w:noWrap w:val="0"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95≤得分≤100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Cs w:val="32"/>
                <w:highlight w:val="none"/>
                <w:vertAlign w:val="baseline"/>
                <w:lang w:val="en-US" w:eastAsia="zh-CN"/>
              </w:rPr>
              <w:t>200万元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12"/>
                <w:kern w:val="3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10万元</w:t>
            </w:r>
          </w:p>
        </w:tc>
      </w:tr>
    </w:tbl>
    <w:p>
      <w:pPr>
        <w:spacing w:line="240" w:lineRule="atLeast"/>
        <w:ind w:firstLine="667" w:firstLineChars="20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备注：</w:t>
      </w:r>
    </w:p>
    <w:p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  <w:lang w:val="en-US" w:eastAsia="zh-CN"/>
        </w:rPr>
        <w:t>对推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  <w:lang w:eastAsia="zh-CN"/>
        </w:rPr>
        <w:t>荐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</w:rPr>
        <w:t>高水平创新创业团队、战略科学家、科技领军人才和具有颠覆性技术的创新创业团队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</w:rPr>
        <w:t>，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  <w:lang w:val="en-US" w:eastAsia="zh-CN"/>
        </w:rPr>
        <w:t>由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</w:rPr>
        <w:t>留创园（分园）管理机构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  <w:lang w:eastAsia="zh-CN"/>
        </w:rPr>
        <w:t>呈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</w:rPr>
        <w:t>报市留创园建设发展领导小组按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  <w:lang w:eastAsia="zh-CN"/>
        </w:rPr>
        <w:t>照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</w:rPr>
        <w:t>“一事一议”原则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  <w:lang w:eastAsia="zh-CN"/>
        </w:rPr>
        <w:t>另行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</w:rPr>
        <w:t>确定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  <w:lang w:eastAsia="zh-CN"/>
        </w:rPr>
        <w:t>奖励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仿宋_GB2312" w:hAnsi="仿宋_GB2312" w:cs="仿宋_GB2312"/>
          <w:bCs/>
          <w:color w:val="auto"/>
          <w:spacing w:val="12"/>
          <w:sz w:val="28"/>
          <w:szCs w:val="28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065DF"/>
    <w:rsid w:val="7B60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2023-12-15T08:34:00Z</dcterms:created>
  <dc:creator>廖海艳</dc:creator>
  <cp:lastModifiedBy>廖海艳</cp:lastModifiedBy>
  <dcterms:modified xsi:type="dcterms:W3CDTF">2023-12-15T08:35:42Z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68A9217918DC4913B552E4D12ADC3D2C</vt:lpwstr>
  </property>
</Properties>
</file>