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（七）</w:t>
      </w:r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地方一般公共预算、政府性基金预算、国有资本经营预算报表中涉及本级支出的，应当公开到功能分类项级科目。本级一般公共预算基本支出应当公开到经济性质分类款级科目，专项转移支付应当分项目公开。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明，并公开重大政策和重点项目等绩效目标。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余额、使用安排及还本付息等信息，包括：随同预算公开上一年度本级地方政府债务余额（或余额预计执行数），以及本级上一年度地方政府债券（含再融资债券）发行及还本付息额（或预计执行数）、本年度地方政府债券还本付息预算数等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地方政府债务余额、使用安排及还本付息等信息，包括：上年末本级地方政府债务余额决算数，地方政府债券发行、还本付息决算数，以及债券资金使用安排等。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各预算部门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B3604"/>
    <w:rsid w:val="32B81587"/>
    <w:rsid w:val="7BC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2020-11-30T07:39:00Z</dcterms:created>
  <dc:creator>HP</dc:creator>
  <cp:lastModifiedBy>陈淑霞</cp:lastModifiedBy>
  <dcterms:modified xsi:type="dcterms:W3CDTF">2023-11-21T08:58:23Z</dcterms:modified>
  <dc:title>（七）财政预决算领域基层政务公开标准目录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8C83684E972A43ACB47C0468FB6BD958</vt:lpwstr>
  </property>
</Properties>
</file>