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</w:pP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中山市民安工贸有限公司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eastAsia="zh-CN"/>
        </w:rPr>
        <w:t>工业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  <w:lang w:val="en-US" w:eastAsia="zh-CN"/>
        </w:rPr>
        <w:t>低效工业用地改造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u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根据现行控制性详细规划，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南头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镇人民政府拟对位于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中山市南头镇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民安村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,中山市民安工贸有限公司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产权人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自主改造，采取全面改造的改造方式。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南头镇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民安村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0.6019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6019.2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kern w:val="2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u w:val="none"/>
          <w:lang w:val="en-US" w:eastAsia="zh-CN"/>
        </w:rPr>
        <w:t>二</w:t>
      </w:r>
      <w:r>
        <w:rPr>
          <w:rFonts w:hint="eastAsia" w:ascii="楷体" w:hAnsi="楷体" w:eastAsia="楷体" w:cs="楷体"/>
          <w:spacing w:val="-6"/>
          <w:kern w:val="2"/>
          <w:sz w:val="32"/>
          <w:szCs w:val="32"/>
          <w:u w:val="none"/>
          <w:lang w:eastAsia="zh-CN"/>
        </w:rPr>
        <w:t>）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属国有建设用地，土地用途为工业，改造涉及的土地已经确权、登记，土地证号为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中府国用（2004）第021374号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月开始使用。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现有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月开始使用。已按规定办理规划报建等手续，现有建筑面积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4519.38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，作工业厂房所用。该地块目前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拆除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276.85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9.97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经研究，认定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改造地块为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低效工业用地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改造地块已纳入我市土壤环境潜在监管地块，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开工建设前应按规定完成土壤污染状况调查、风险评估和修复等工作。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改造地块不涉及闲置、抵押、查封、历史文化资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源要素等情况。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楷体" w:hAnsi="楷体" w:eastAsia="楷体" w:cs="楷体"/>
          <w:spacing w:val="-6"/>
          <w:sz w:val="32"/>
          <w:szCs w:val="32"/>
          <w:highlight w:val="none"/>
          <w:u w:val="none"/>
        </w:rPr>
        <w:t>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改造地块符合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、控制性详细规划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/>
        </w:rPr>
        <w:t>,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不符合土地利用总体规划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其中，在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国土空间总体规划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中，属城镇建设用地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0.6019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6019.2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亩）；在《南头镇升辉北路以西用地控制性详细规划调整》（中府函〔2015〕95号）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及《中山市南头镇工业用地规划条件论证报告》（中府函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〔20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317号）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中，一类工业用地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0.5661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5661.45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8.49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亩），规划容积率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1.0-3.5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 35%-60%，生产性建筑高度≤50 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特殊工艺除外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配套设施建筑高度≤100 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；防护绿地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0.0358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357.75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亩）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改造地块位于城镇开发边界内，不涉及永久基本农田、生态保护红线等管控要求。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改造项目涉及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一个权利主体，南头镇人民政府已按照法律法规，就改造范围、土地现状、改造主体及拟改造情况等事项征询其改造意愿，权利人同意将涉及土地、房屋纳入改造范围。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三、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根据有关规划要求，改造项目严格按照控制性详细规划管控要求实施建设。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在规划中属非建设用地部分，按照非建设用地进行管控；在详细规划中属道路和绿地等公益性用地部分，日后属地政府需按规划开发建设时，应无偿将用地交给属地政府使用。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作为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改造主体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，实施全面改造。改造后将用于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工业生产（小家电类）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18060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平方米），其中新建建筑面积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18060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平方米），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保留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建筑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项目相关情况符合国家《产业结构调整指导目录》、《中山市“三线一单”生态环境分区管控方案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u w:val="none"/>
          <w:lang w:val="en-US" w:eastAsia="zh-CN"/>
        </w:rPr>
        <w:t>2023年版）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553.71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亩均税收约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19.38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周期为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期开发。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动工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时间为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，竣工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时间为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月，拟投入资金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3500万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元，拟建建筑面积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18060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平方米（含不计容建筑面积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</w:rPr>
        <w:t>平方米）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主要实施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厂房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建设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  <w:u w:val="none"/>
        </w:rPr>
        <w:t>六、实施监管</w:t>
      </w:r>
    </w:p>
    <w:p>
      <w:pPr>
        <w:spacing w:line="574" w:lineRule="exact"/>
        <w:ind w:firstLine="616" w:firstLineChars="200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详见项目监管协议。</w:t>
      </w:r>
    </w:p>
    <w:p>
      <w:pPr>
        <w:rPr>
          <w:highlight w:val="none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Y2YmNiMWMzMTg2N2Y3OTg3YTRlYjgzMDQwN2UifQ=="/>
  </w:docVars>
  <w:rsids>
    <w:rsidRoot w:val="0D732C0B"/>
    <w:rsid w:val="09613E48"/>
    <w:rsid w:val="0D732C0B"/>
    <w:rsid w:val="10EE6668"/>
    <w:rsid w:val="12CF0805"/>
    <w:rsid w:val="4EA71A72"/>
    <w:rsid w:val="652679F4"/>
    <w:rsid w:val="76D96E05"/>
    <w:rsid w:val="771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4</Pages>
  <Words>1481</Words>
  <Characters>1668</Characters>
  <Lines>0</Lines>
  <Paragraphs>0</Paragraphs>
  <TotalTime>0</TotalTime>
  <ScaleCrop>false</ScaleCrop>
  <LinksUpToDate>false</LinksUpToDate>
  <CharactersWithSpaces>1668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2023-06-12T02:25:00Z</dcterms:created>
  <dc:creator>秦燕</dc:creator>
  <cp:lastModifiedBy>高玉德</cp:lastModifiedBy>
  <dcterms:modified xsi:type="dcterms:W3CDTF">2023-10-27T03:44:36Z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2935A44E07EA4430A7FFD230847ED32C</vt:lpwstr>
  </property>
</Properties>
</file>