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黑体" w:hAnsi="黑体" w:eastAsia="黑体" w:cs="黑体"/>
          <w:snapToGrid/>
          <w:spacing w:val="0"/>
          <w:kern w:val="2"/>
          <w:sz w:val="32"/>
          <w:szCs w:val="32"/>
          <w:lang w:val="en-US" w:eastAsia="zh-CN"/>
        </w:rPr>
      </w:pPr>
      <w:r>
        <w:rPr>
          <w:rFonts w:hint="eastAsia" w:ascii="黑体" w:hAnsi="黑体" w:eastAsia="黑体" w:cs="黑体"/>
          <w:snapToGrid/>
          <w:spacing w:val="0"/>
          <w:kern w:val="2"/>
          <w:sz w:val="32"/>
          <w:szCs w:val="32"/>
          <w:lang w:val="en-US" w:eastAsia="zh-CN"/>
        </w:rPr>
        <w:t>附件2</w:t>
      </w:r>
    </w:p>
    <w:p>
      <w:pPr>
        <w:keepNext w:val="0"/>
        <w:keepLines w:val="0"/>
        <w:pageBreakBefore w:val="0"/>
        <w:widowControl/>
        <w:kinsoku/>
        <w:wordWrap/>
        <w:overflowPunct/>
        <w:topLinePunct w:val="0"/>
        <w:autoSpaceDE/>
        <w:autoSpaceDN/>
        <w:bidi w:val="0"/>
        <w:adjustRightInd w:val="0"/>
        <w:snapToGrid w:val="0"/>
        <w:spacing w:line="216" w:lineRule="auto"/>
        <w:jc w:val="center"/>
        <w:textAlignment w:val="center"/>
        <w:rPr>
          <w:rFonts w:ascii="宋体" w:hAnsi="宋体" w:cs="宋体"/>
          <w:b/>
          <w:bCs/>
          <w:snapToGrid/>
          <w:color w:val="000000"/>
          <w:spacing w:val="0"/>
          <w:kern w:val="0"/>
          <w:sz w:val="30"/>
          <w:szCs w:val="30"/>
          <w:lang w:bidi="ar"/>
        </w:rPr>
      </w:pPr>
      <w:bookmarkStart w:id="2" w:name="_GoBack"/>
      <w:r>
        <w:rPr>
          <w:rFonts w:hint="eastAsia" w:ascii="方正小标宋简体" w:hAnsi="方正小标宋简体" w:eastAsia="方正小标宋简体" w:cs="方正小标宋简体"/>
          <w:snapToGrid/>
          <w:color w:val="000000"/>
          <w:spacing w:val="0"/>
          <w:kern w:val="0"/>
          <w:sz w:val="44"/>
          <w:szCs w:val="44"/>
          <w:lang w:bidi="ar"/>
        </w:rPr>
        <w:t>人才房待遇标准明细表</w:t>
      </w:r>
      <w:bookmarkEnd w:id="2"/>
    </w:p>
    <w:tbl>
      <w:tblPr>
        <w:tblStyle w:val="4"/>
        <w:tblpPr w:leftFromText="180" w:rightFromText="180" w:vertAnchor="text" w:horzAnchor="page" w:tblpX="1081" w:tblpY="300"/>
        <w:tblOverlap w:val="never"/>
        <w:tblW w:w="10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398"/>
        <w:gridCol w:w="1068"/>
        <w:gridCol w:w="1140"/>
        <w:gridCol w:w="1104"/>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napToGrid/>
                <w:spacing w:val="0"/>
                <w:kern w:val="2"/>
                <w:sz w:val="24"/>
                <w:szCs w:val="24"/>
              </w:rPr>
            </w:pPr>
            <w:r>
              <w:rPr>
                <w:rFonts w:hint="eastAsia" w:ascii="黑体" w:hAnsi="黑体" w:eastAsia="黑体" w:cs="黑体"/>
                <w:b w:val="0"/>
                <w:bCs w:val="0"/>
                <w:snapToGrid/>
                <w:spacing w:val="0"/>
                <w:kern w:val="2"/>
                <w:sz w:val="24"/>
                <w:szCs w:val="24"/>
              </w:rPr>
              <w:t>序号</w:t>
            </w:r>
          </w:p>
        </w:tc>
        <w:tc>
          <w:tcPr>
            <w:tcW w:w="43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napToGrid/>
                <w:spacing w:val="0"/>
                <w:kern w:val="2"/>
                <w:sz w:val="24"/>
                <w:szCs w:val="24"/>
              </w:rPr>
            </w:pPr>
            <w:r>
              <w:rPr>
                <w:rFonts w:hint="eastAsia" w:ascii="黑体" w:hAnsi="黑体" w:eastAsia="黑体" w:cs="黑体"/>
                <w:b w:val="0"/>
                <w:bCs w:val="0"/>
                <w:snapToGrid/>
                <w:spacing w:val="0"/>
                <w:kern w:val="2"/>
                <w:sz w:val="24"/>
                <w:szCs w:val="24"/>
              </w:rPr>
              <w:t>保障对象范围</w:t>
            </w:r>
          </w:p>
        </w:tc>
        <w:tc>
          <w:tcPr>
            <w:tcW w:w="10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napToGrid/>
                <w:spacing w:val="0"/>
                <w:kern w:val="2"/>
                <w:sz w:val="24"/>
                <w:szCs w:val="24"/>
              </w:rPr>
            </w:pPr>
            <w:r>
              <w:rPr>
                <w:rFonts w:hint="eastAsia" w:ascii="黑体" w:hAnsi="黑体" w:eastAsia="黑体" w:cs="黑体"/>
                <w:b w:val="0"/>
                <w:bCs w:val="0"/>
                <w:snapToGrid/>
                <w:spacing w:val="0"/>
                <w:kern w:val="2"/>
                <w:sz w:val="24"/>
                <w:szCs w:val="24"/>
              </w:rPr>
              <w:t>申请</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napToGrid/>
                <w:spacing w:val="0"/>
                <w:kern w:val="2"/>
                <w:sz w:val="24"/>
                <w:szCs w:val="24"/>
              </w:rPr>
            </w:pPr>
            <w:r>
              <w:rPr>
                <w:rFonts w:hint="eastAsia" w:ascii="黑体" w:hAnsi="黑体" w:eastAsia="黑体" w:cs="黑体"/>
                <w:b w:val="0"/>
                <w:bCs w:val="0"/>
                <w:snapToGrid/>
                <w:spacing w:val="0"/>
                <w:kern w:val="2"/>
                <w:sz w:val="24"/>
                <w:szCs w:val="24"/>
              </w:rPr>
              <w:t>主体</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napToGrid/>
                <w:spacing w:val="0"/>
                <w:kern w:val="2"/>
                <w:sz w:val="24"/>
                <w:szCs w:val="24"/>
              </w:rPr>
            </w:pPr>
            <w:r>
              <w:rPr>
                <w:rFonts w:hint="eastAsia" w:ascii="黑体" w:hAnsi="黑体" w:eastAsia="黑体" w:cs="黑体"/>
                <w:b w:val="0"/>
                <w:bCs w:val="0"/>
                <w:snapToGrid/>
                <w:spacing w:val="0"/>
                <w:kern w:val="2"/>
                <w:sz w:val="24"/>
                <w:szCs w:val="24"/>
              </w:rPr>
              <w:t>可申请建筑面积</w:t>
            </w:r>
          </w:p>
        </w:tc>
        <w:tc>
          <w:tcPr>
            <w:tcW w:w="11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napToGrid/>
                <w:spacing w:val="0"/>
                <w:kern w:val="2"/>
                <w:sz w:val="24"/>
                <w:szCs w:val="24"/>
              </w:rPr>
            </w:pPr>
            <w:r>
              <w:rPr>
                <w:rFonts w:hint="eastAsia" w:ascii="黑体" w:hAnsi="黑体" w:eastAsia="黑体" w:cs="黑体"/>
                <w:b w:val="0"/>
                <w:bCs w:val="0"/>
                <w:snapToGrid/>
                <w:spacing w:val="0"/>
                <w:kern w:val="2"/>
                <w:sz w:val="24"/>
                <w:szCs w:val="24"/>
              </w:rPr>
              <w:t>实际租金返还比例</w:t>
            </w:r>
          </w:p>
        </w:tc>
        <w:tc>
          <w:tcPr>
            <w:tcW w:w="16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napToGrid/>
                <w:spacing w:val="0"/>
                <w:kern w:val="2"/>
                <w:sz w:val="24"/>
                <w:szCs w:val="24"/>
              </w:rPr>
            </w:pPr>
            <w:r>
              <w:rPr>
                <w:rFonts w:hint="eastAsia" w:ascii="黑体" w:hAnsi="黑体" w:eastAsia="黑体" w:cs="黑体"/>
                <w:b w:val="0"/>
                <w:bCs w:val="0"/>
                <w:snapToGrid/>
                <w:spacing w:val="0"/>
                <w:kern w:val="2"/>
                <w:sz w:val="24"/>
                <w:szCs w:val="24"/>
              </w:rPr>
              <w:t>租住（补贴）期限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1</w:t>
            </w:r>
          </w:p>
        </w:tc>
        <w:tc>
          <w:tcPr>
            <w:tcW w:w="43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（1）经中山市人力资源和社会保障局认定或评定的第一至三层次中山市紧缺适用高层次人才；</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（2）中山市A、B档特聘人才。</w:t>
            </w:r>
          </w:p>
        </w:tc>
        <w:tc>
          <w:tcPr>
            <w:tcW w:w="10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个人</w:t>
            </w:r>
            <w:r>
              <w:rPr>
                <w:rFonts w:hint="default" w:ascii="Times New Roman" w:hAnsi="Times New Roman" w:eastAsia="仿宋_GB2312" w:cs="Times New Roman"/>
                <w:snapToGrid/>
                <w:spacing w:val="0"/>
                <w:kern w:val="2"/>
                <w:sz w:val="24"/>
                <w:szCs w:val="24"/>
                <w:lang w:val="en-US" w:eastAsia="zh-CN"/>
              </w:rPr>
              <w:t>或用人单位</w:t>
            </w:r>
            <w:r>
              <w:rPr>
                <w:rFonts w:hint="default" w:ascii="Times New Roman" w:hAnsi="Times New Roman" w:eastAsia="仿宋_GB2312" w:cs="Times New Roman"/>
                <w:snapToGrid/>
                <w:spacing w:val="0"/>
                <w:kern w:val="2"/>
                <w:sz w:val="24"/>
                <w:szCs w:val="24"/>
              </w:rPr>
              <w:t>提出申请</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200㎡</w:t>
            </w:r>
          </w:p>
        </w:tc>
        <w:tc>
          <w:tcPr>
            <w:tcW w:w="11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100%</w:t>
            </w:r>
          </w:p>
        </w:tc>
        <w:tc>
          <w:tcPr>
            <w:tcW w:w="16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不限期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2</w:t>
            </w:r>
          </w:p>
        </w:tc>
        <w:tc>
          <w:tcPr>
            <w:tcW w:w="43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（1）经中山市人力资源和社会保障局认定或评定的第四至六层次中山市紧缺适用高层次人才；</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（2）中山市C、D档特聘人才；</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（3）神湾镇重点招商项目（与我镇签订引进协议且投资额达5亿元及以上）团队骨干；</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（4）在神湾每月纳税4000元以上个人</w:t>
            </w:r>
          </w:p>
        </w:tc>
        <w:tc>
          <w:tcPr>
            <w:tcW w:w="10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个人</w:t>
            </w:r>
            <w:r>
              <w:rPr>
                <w:rFonts w:hint="default" w:ascii="Times New Roman" w:hAnsi="Times New Roman" w:eastAsia="仿宋_GB2312" w:cs="Times New Roman"/>
                <w:snapToGrid/>
                <w:spacing w:val="0"/>
                <w:kern w:val="2"/>
                <w:sz w:val="24"/>
                <w:szCs w:val="24"/>
                <w:lang w:val="en-US" w:eastAsia="zh-CN"/>
              </w:rPr>
              <w:t>或用人单位</w:t>
            </w:r>
            <w:r>
              <w:rPr>
                <w:rFonts w:hint="default" w:ascii="Times New Roman" w:hAnsi="Times New Roman" w:eastAsia="仿宋_GB2312" w:cs="Times New Roman"/>
                <w:snapToGrid/>
                <w:spacing w:val="0"/>
                <w:kern w:val="2"/>
                <w:sz w:val="24"/>
                <w:szCs w:val="24"/>
              </w:rPr>
              <w:t>提出申请</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100㎡</w:t>
            </w:r>
          </w:p>
        </w:tc>
        <w:tc>
          <w:tcPr>
            <w:tcW w:w="11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100%</w:t>
            </w:r>
          </w:p>
        </w:tc>
        <w:tc>
          <w:tcPr>
            <w:tcW w:w="16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3</w:t>
            </w:r>
          </w:p>
        </w:tc>
        <w:tc>
          <w:tcPr>
            <w:tcW w:w="43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（1）经中山市人力资源和社会保障局认定或评定的第七层次中山市紧缺适用高层次人才；</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（2）经教育部认可全日制硕士研究生及以上学历人才；</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（3）获得副高级及以上职称的专业技术人才；</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（4）取得高级技师及以上职业资格的高技能人员；</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（5）在神湾的外商投资企业的外籍高级管理人才和专业技术人才；</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（6）来神湾短期工作、符合我镇相关规定柔性引进的高层次人才。</w:t>
            </w:r>
          </w:p>
        </w:tc>
        <w:tc>
          <w:tcPr>
            <w:tcW w:w="10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用人单位提出申请</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60㎡</w:t>
            </w:r>
          </w:p>
        </w:tc>
        <w:tc>
          <w:tcPr>
            <w:tcW w:w="11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第一年100%，</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第二、三年</w:t>
            </w:r>
          </w:p>
          <w:p>
            <w:pPr>
              <w:keepNext w:val="0"/>
              <w:keepLines w:val="0"/>
              <w:pageBreakBefore w:val="0"/>
              <w:widowControl w:val="0"/>
              <w:kinsoku/>
              <w:wordWrap/>
              <w:overflowPunct/>
              <w:topLinePunct w:val="0"/>
              <w:autoSpaceDE/>
              <w:autoSpaceDN/>
              <w:bidi w:val="0"/>
              <w:adjustRightInd w:val="0"/>
              <w:snapToGrid w:val="0"/>
              <w:spacing w:after="12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50%</w:t>
            </w:r>
          </w:p>
        </w:tc>
        <w:tc>
          <w:tcPr>
            <w:tcW w:w="16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4</w:t>
            </w:r>
          </w:p>
        </w:tc>
        <w:tc>
          <w:tcPr>
            <w:tcW w:w="43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（1）全国双一流高校全日制本科毕业生；</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（2）符合镇《急需人才专业目录》要求的人才。</w:t>
            </w:r>
          </w:p>
        </w:tc>
        <w:tc>
          <w:tcPr>
            <w:tcW w:w="10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用人单位提出申请</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60㎡</w:t>
            </w:r>
          </w:p>
        </w:tc>
        <w:tc>
          <w:tcPr>
            <w:tcW w:w="11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50%</w:t>
            </w:r>
          </w:p>
        </w:tc>
        <w:tc>
          <w:tcPr>
            <w:tcW w:w="16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napToGrid/>
                <w:spacing w:val="0"/>
                <w:kern w:val="2"/>
                <w:sz w:val="24"/>
                <w:szCs w:val="24"/>
              </w:rPr>
            </w:pPr>
            <w:r>
              <w:rPr>
                <w:rFonts w:hint="default" w:ascii="Times New Roman" w:hAnsi="Times New Roman" w:eastAsia="仿宋_GB2312" w:cs="Times New Roman"/>
                <w:snapToGrid/>
                <w:spacing w:val="0"/>
                <w:kern w:val="2"/>
                <w:sz w:val="24"/>
                <w:szCs w:val="24"/>
              </w:rPr>
              <w:t>3年</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1440" w:leftChars="0" w:right="0" w:rightChars="0" w:hanging="1440" w:hangingChars="450"/>
        <w:jc w:val="both"/>
        <w:textAlignment w:val="auto"/>
        <w:outlineLvl w:val="9"/>
        <w:rPr>
          <w:rFonts w:hint="default" w:ascii="Times New Roman" w:hAnsi="Times New Roman" w:cs="Times New Roman"/>
          <w:snapToGrid/>
          <w:spacing w:val="0"/>
          <w:kern w:val="2"/>
          <w:szCs w:val="32"/>
        </w:rPr>
      </w:pPr>
      <w:r>
        <w:rPr>
          <w:rFonts w:hint="default" w:ascii="Times New Roman" w:hAnsi="Times New Roman" w:cs="Times New Roman"/>
          <w:snapToGrid/>
          <w:spacing w:val="0"/>
          <w:kern w:val="2"/>
          <w:szCs w:val="32"/>
        </w:rPr>
        <w:t>备注：1</w:t>
      </w:r>
      <w:bookmarkStart w:id="0" w:name="OLE_LINK2"/>
      <w:bookmarkStart w:id="1" w:name="OLE_LINK3"/>
      <w:r>
        <w:rPr>
          <w:rFonts w:hint="eastAsia" w:ascii="仿宋_GB2312" w:hAnsi="仿宋_GB2312" w:eastAsia="仿宋_GB2312" w:cs="仿宋_GB2312"/>
          <w:snapToGrid w:val="0"/>
          <w:spacing w:val="6"/>
          <w:kern w:val="0"/>
          <w:sz w:val="32"/>
          <w:szCs w:val="32"/>
        </w:rPr>
        <w:t>．</w:t>
      </w:r>
      <w:bookmarkEnd w:id="0"/>
      <w:bookmarkEnd w:id="1"/>
      <w:r>
        <w:rPr>
          <w:rFonts w:hint="default" w:ascii="Times New Roman" w:hAnsi="Times New Roman" w:cs="Times New Roman"/>
          <w:snapToGrid/>
          <w:spacing w:val="0"/>
          <w:kern w:val="2"/>
          <w:szCs w:val="32"/>
        </w:rPr>
        <w:t>符合上述两种及以上情形的人才，按自愿原则择一享受保障待遇</w:t>
      </w:r>
      <w:r>
        <w:rPr>
          <w:rFonts w:hint="eastAsia" w:ascii="Times New Roman" w:hAnsi="Times New Roman" w:cs="Times New Roman"/>
          <w:snapToGrid/>
          <w:spacing w:val="0"/>
          <w:kern w:val="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960" w:firstLineChars="300"/>
        <w:jc w:val="both"/>
        <w:textAlignment w:val="auto"/>
        <w:outlineLvl w:val="9"/>
        <w:rPr>
          <w:rFonts w:hint="eastAsia" w:ascii="Times New Roman" w:hAnsi="Times New Roman" w:eastAsia="仿宋_GB2312" w:cs="Times New Roman"/>
          <w:snapToGrid w:val="0"/>
          <w:spacing w:val="0"/>
          <w:kern w:val="32"/>
          <w:sz w:val="18"/>
          <w:szCs w:val="18"/>
        </w:rPr>
      </w:pPr>
      <w:r>
        <w:rPr>
          <w:rFonts w:hint="default" w:ascii="Times New Roman" w:hAnsi="Times New Roman" w:cs="Times New Roman"/>
          <w:snapToGrid/>
          <w:spacing w:val="0"/>
          <w:kern w:val="2"/>
          <w:szCs w:val="32"/>
        </w:rPr>
        <w:t>2</w:t>
      </w:r>
      <w:r>
        <w:rPr>
          <w:rFonts w:hint="eastAsia" w:ascii="仿宋_GB2312" w:hAnsi="仿宋_GB2312" w:eastAsia="仿宋_GB2312" w:cs="仿宋_GB2312"/>
          <w:snapToGrid w:val="0"/>
          <w:spacing w:val="6"/>
          <w:kern w:val="0"/>
          <w:sz w:val="32"/>
          <w:szCs w:val="32"/>
        </w:rPr>
        <w:t>．</w:t>
      </w:r>
      <w:r>
        <w:rPr>
          <w:rFonts w:hint="default" w:ascii="Times New Roman" w:hAnsi="Times New Roman" w:cs="Times New Roman"/>
          <w:snapToGrid/>
          <w:spacing w:val="0"/>
          <w:kern w:val="2"/>
          <w:szCs w:val="32"/>
        </w:rPr>
        <w:t>待遇标准</w:t>
      </w:r>
      <w:r>
        <w:rPr>
          <w:rFonts w:hint="eastAsia" w:ascii="Times New Roman" w:hAnsi="Times New Roman" w:cs="Times New Roman"/>
          <w:snapToGrid/>
          <w:spacing w:val="0"/>
          <w:kern w:val="2"/>
          <w:szCs w:val="32"/>
        </w:rPr>
        <w:t>结合实际情况适时调整。</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84" w:lineRule="auto"/>
      </w:pPr>
      <w:r>
        <w:separator/>
      </w:r>
    </w:p>
  </w:footnote>
  <w:footnote w:type="continuationSeparator" w:id="1">
    <w:p>
      <w:pPr>
        <w:spacing w:line="38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E1548"/>
    <w:rsid w:val="339E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spacing w:line="384" w:lineRule="auto"/>
      <w:jc w:val="both"/>
    </w:pPr>
    <w:rPr>
      <w:rFonts w:ascii="Times New Roman" w:hAnsi="Times New Roman" w:eastAsia="仿宋_GB2312" w:cs="Times New Roman"/>
      <w:snapToGrid w:val="0"/>
      <w:spacing w:val="6"/>
      <w:kern w:val="30"/>
      <w:sz w:val="32"/>
      <w:szCs w:val="24"/>
      <w:lang w:val="en-US" w:eastAsia="zh-CN" w:bidi="ar-SA"/>
    </w:rPr>
  </w:style>
  <w:style w:type="paragraph" w:styleId="2">
    <w:name w:val="heading 4"/>
    <w:basedOn w:val="1"/>
    <w:next w:val="1"/>
    <w:qFormat/>
    <w:uiPriority w:val="0"/>
    <w:pPr>
      <w:keepNext/>
      <w:jc w:val="center"/>
      <w:outlineLvl w:val="3"/>
    </w:pPr>
    <w:rPr>
      <w:rFonts w:eastAsia="公文小标宋简"/>
      <w:b/>
      <w:sz w:val="44"/>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中山市神湾镇人民政府</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2023-10-27T11:28:00Z</dcterms:created>
  <dc:creator>高美良</dc:creator>
  <cp:lastModifiedBy>高美良</cp:lastModifiedBy>
  <dcterms:modified xsi:type="dcterms:W3CDTF">2023-10-27T11:29:08Z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7FF36CA1DC97471FA8BC357C9E7A4254</vt:lpwstr>
  </property>
</Properties>
</file>