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71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5"/>
        <w:gridCol w:w="825"/>
        <w:gridCol w:w="3015"/>
        <w:gridCol w:w="2595"/>
        <w:gridCol w:w="1335"/>
        <w:gridCol w:w="1065"/>
        <w:gridCol w:w="885"/>
        <w:gridCol w:w="705"/>
        <w:gridCol w:w="570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镇（街）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预算法》、《政府信息公开条例》、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"/>
              </w:rPr>
              <w:t>《财政部关于印发〈地方预决算公开操作规程〉的通知》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本级人民代表大会或其常务委员会批准后20日内</w:t>
            </w:r>
            <w:bookmarkStart w:id="0" w:name="_GoBack"/>
            <w:bookmarkEnd w:id="0"/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算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"/>
              </w:rPr>
              <w:t>《财政部关于印发〈地方预决算公开操作规程〉的通知》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算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预算法》、《政府信息公开条例》、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"/>
              </w:rPr>
              <w:t>《财政部关于印发〈地方预决算公开操作规程〉的通知》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F55E1"/>
    <w:rsid w:val="36801C72"/>
    <w:rsid w:val="741F55E1"/>
    <w:rsid w:val="DF5F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2020-12-21T09:58:00Z</dcterms:created>
  <dc:creator>信息中心</dc:creator>
  <cp:lastModifiedBy>user</cp:lastModifiedBy>
  <dcterms:modified xsi:type="dcterms:W3CDTF">2023-09-20T09:10:15Z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