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336" w:lineRule="auto"/>
        <w:jc w:val="center"/>
        <w:textAlignment w:val="auto"/>
        <w:rPr>
          <w:rFonts w:hint="default" w:ascii="Times New Roman" w:hAnsi="Times New Roman" w:eastAsia="公文小标宋简" w:cs="Times New Roman"/>
          <w:sz w:val="44"/>
          <w:szCs w:val="44"/>
        </w:rPr>
      </w:pPr>
    </w:p>
    <w:p>
      <w:pPr>
        <w:keepNext w:val="0"/>
        <w:keepLines w:val="0"/>
        <w:pageBreakBefore w:val="0"/>
        <w:widowControl w:val="0"/>
        <w:kinsoku/>
        <w:wordWrap/>
        <w:overflowPunct/>
        <w:topLinePunct w:val="0"/>
        <w:bidi w:val="0"/>
        <w:adjustRightInd w:val="0"/>
        <w:snapToGrid w:val="0"/>
        <w:spacing w:line="336" w:lineRule="auto"/>
        <w:jc w:val="center"/>
        <w:textAlignment w:val="auto"/>
        <w:rPr>
          <w:rFonts w:hint="default" w:ascii="Times New Roman" w:hAnsi="Times New Roman" w:eastAsia="公文小标宋简" w:cs="Times New Roman"/>
          <w:sz w:val="44"/>
          <w:szCs w:val="44"/>
        </w:rPr>
      </w:pPr>
    </w:p>
    <w:p>
      <w:pPr>
        <w:keepNext w:val="0"/>
        <w:keepLines w:val="0"/>
        <w:pageBreakBefore w:val="0"/>
        <w:widowControl w:val="0"/>
        <w:numPr>
          <w:numId w:val="0"/>
        </w:numPr>
        <w:kinsoku/>
        <w:wordWrap/>
        <w:overflowPunct/>
        <w:topLinePunct w:val="0"/>
        <w:bidi w:val="0"/>
        <w:adjustRightInd w:val="0"/>
        <w:snapToGrid w:val="0"/>
        <w:spacing w:line="336"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第三部分</w:t>
      </w:r>
      <w:r>
        <w:rPr>
          <w:rFonts w:hint="eastAsia" w:ascii="方正小标宋简体" w:hAnsi="方正小标宋简体" w:eastAsia="方正小标宋简体" w:cs="方正小标宋简体"/>
          <w:sz w:val="44"/>
          <w:szCs w:val="44"/>
        </w:rPr>
        <w:t xml:space="preserve"> 相关说明</w:t>
      </w:r>
    </w:p>
    <w:p>
      <w:pPr>
        <w:keepNext w:val="0"/>
        <w:keepLines w:val="0"/>
        <w:pageBreakBefore w:val="0"/>
        <w:widowControl w:val="0"/>
        <w:kinsoku/>
        <w:wordWrap/>
        <w:overflowPunct/>
        <w:topLinePunct w:val="0"/>
        <w:bidi w:val="0"/>
        <w:adjustRightInd w:val="0"/>
        <w:snapToGrid w:val="0"/>
        <w:spacing w:line="336" w:lineRule="auto"/>
        <w:ind w:firstLine="643" w:firstLineChars="200"/>
        <w:jc w:val="both"/>
        <w:textAlignment w:val="auto"/>
        <w:rPr>
          <w:rFonts w:hint="default" w:ascii="Times New Roman" w:hAnsi="Times New Roman" w:eastAsia="仿宋_GB2312" w:cs="Times New Roman"/>
          <w:b/>
          <w:kern w:val="0"/>
          <w:sz w:val="32"/>
          <w:szCs w:val="32"/>
          <w:lang w:bidi="ar"/>
        </w:rPr>
      </w:pP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kern w:val="0"/>
          <w:sz w:val="32"/>
          <w:szCs w:val="32"/>
          <w:lang w:bidi="ar"/>
        </w:rPr>
        <w:t>一</w:t>
      </w:r>
      <w:r>
        <w:rPr>
          <w:rFonts w:hint="eastAsia" w:ascii="黑体" w:hAnsi="黑体" w:eastAsia="黑体" w:cs="黑体"/>
          <w:b w:val="0"/>
          <w:bCs/>
          <w:kern w:val="0"/>
          <w:sz w:val="32"/>
          <w:szCs w:val="32"/>
          <w:lang w:eastAsia="zh-CN" w:bidi="ar"/>
        </w:rPr>
        <w:t>、</w:t>
      </w:r>
      <w:r>
        <w:rPr>
          <w:rFonts w:hint="eastAsia" w:ascii="黑体" w:hAnsi="黑体" w:eastAsia="黑体" w:cs="黑体"/>
          <w:b w:val="0"/>
          <w:bCs/>
          <w:sz w:val="32"/>
          <w:szCs w:val="32"/>
        </w:rPr>
        <w:t>一般公共预算支出</w:t>
      </w:r>
      <w:r>
        <w:rPr>
          <w:rFonts w:hint="eastAsia" w:ascii="黑体" w:hAnsi="黑体" w:eastAsia="黑体" w:cs="黑体"/>
          <w:b w:val="0"/>
          <w:bCs/>
          <w:sz w:val="32"/>
          <w:szCs w:val="32"/>
          <w:lang w:eastAsia="zh-CN"/>
        </w:rPr>
        <w:t>决算</w:t>
      </w:r>
      <w:r>
        <w:rPr>
          <w:rFonts w:hint="eastAsia" w:ascii="黑体" w:hAnsi="黑体" w:eastAsia="黑体" w:cs="黑体"/>
          <w:b w:val="0"/>
          <w:bCs/>
          <w:sz w:val="32"/>
          <w:szCs w:val="32"/>
        </w:rPr>
        <w:t>的说明</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1.一般公共服务支出6867万元，完成预算41.4%，同比减少3081万元，降幅31%，降幅较大主要是进一步压减行政单位运行成本。</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2.国防支出8万元，同比增加8万元，增幅100%。</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3.公共安全支出16901万元，完成预算90.7%，同比减少2033万元，降幅10.7%，主要是2021年支付公安分局办案中心和库充派出所建设装修工程及相关配套设施费用抬高同期基数。</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4.教育支出45957万元，完成预算82.8%，同比减少783万元，降幅1.7%。</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5.科学技术支出1229万元，完成预算79.1%，同比增加77万元，增幅6.7%。</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6.文化体育与传媒支出2931万元，完成预算97.6%，同比增加61万元，增幅2.1%。</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7.社会保障和就业支出9210万元，完成预算73.6%，同比减少3169万元，降幅25.6%，主要是支付市扣区负担的城乡居民基本医疗补贴、城乡居民门诊基本医疗补贴等调整至上解支出反映。</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8.卫生健康支出10477万元，完成预算86.1%，同比增加655万元，增幅6.7%。</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9.节能环保支出1510万元，完成预算35.1%，同比增加660万元，增幅77.6%，主要是饮用水源保护区生态补偿专项资金由农林水支出调整至节能环保支出列支。</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10.城乡社区支出9628万元，完成预算69.7%，同比增加366万元，增幅4%。</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11.农林水支出2926万元，完成预算50.6%，同比减少916万元，降幅23.8%，主要是饮用水源保护区生态补偿专项资金由农林水支出调整至节能环保支出列支。</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12.粮油物资储备支出260万元，完成预算100%。</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13.交通运输支出17万元，同比增长17万元，增长100%。</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14.自然资源海洋气象等支出1623万元，同比增加1168万元，增长256.7%。</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15．住房保障支出250万元，同比增加250万元，增长100%。</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16.灾害防止及应急管理支出1131万元，完成预算92.1%，同比增加101万元，增幅9.8%。</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b w:val="0"/>
          <w:bCs/>
          <w:kern w:val="0"/>
          <w:sz w:val="32"/>
          <w:szCs w:val="32"/>
          <w:lang w:bidi="ar"/>
        </w:rPr>
      </w:pPr>
      <w:r>
        <w:rPr>
          <w:rFonts w:hint="eastAsia" w:ascii="黑体" w:hAnsi="黑体" w:eastAsia="黑体" w:cs="黑体"/>
          <w:b w:val="0"/>
          <w:bCs/>
          <w:kern w:val="0"/>
          <w:sz w:val="32"/>
          <w:szCs w:val="32"/>
          <w:lang w:bidi="ar"/>
        </w:rPr>
        <w:t>二</w:t>
      </w:r>
      <w:r>
        <w:rPr>
          <w:rFonts w:hint="eastAsia" w:ascii="黑体" w:hAnsi="黑体" w:eastAsia="黑体" w:cs="黑体"/>
          <w:b w:val="0"/>
          <w:bCs/>
          <w:kern w:val="0"/>
          <w:sz w:val="32"/>
          <w:szCs w:val="32"/>
          <w:lang w:eastAsia="zh-CN" w:bidi="ar"/>
        </w:rPr>
        <w:t>、</w:t>
      </w:r>
      <w:r>
        <w:rPr>
          <w:rFonts w:hint="eastAsia" w:ascii="黑体" w:hAnsi="黑体" w:eastAsia="黑体" w:cs="黑体"/>
          <w:b w:val="0"/>
          <w:bCs/>
          <w:kern w:val="0"/>
          <w:sz w:val="32"/>
          <w:szCs w:val="32"/>
          <w:lang w:bidi="ar"/>
        </w:rPr>
        <w:t>举借债务情况</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default" w:ascii="Times New Roman" w:hAnsi="Times New Roman" w:eastAsia="仿宋_GB2312" w:cs="Times New Roman"/>
          <w:b w:val="0"/>
          <w:bCs/>
          <w:kern w:val="0"/>
          <w:sz w:val="32"/>
          <w:szCs w:val="32"/>
          <w:lang w:bidi="ar"/>
        </w:rPr>
      </w:pPr>
      <w:r>
        <w:rPr>
          <w:rFonts w:hint="default" w:ascii="Times New Roman" w:hAnsi="Times New Roman" w:eastAsia="仿宋_GB2312" w:cs="Times New Roman"/>
          <w:b w:val="0"/>
          <w:bCs/>
          <w:kern w:val="0"/>
          <w:sz w:val="32"/>
          <w:szCs w:val="32"/>
          <w:lang w:bidi="ar"/>
        </w:rPr>
        <w:t>截至202</w:t>
      </w:r>
      <w:r>
        <w:rPr>
          <w:rFonts w:hint="default" w:ascii="Times New Roman" w:hAnsi="Times New Roman" w:eastAsia="仿宋_GB2312" w:cs="Times New Roman"/>
          <w:b w:val="0"/>
          <w:bCs/>
          <w:kern w:val="0"/>
          <w:sz w:val="32"/>
          <w:szCs w:val="32"/>
          <w:lang w:val="en-US" w:eastAsia="zh-CN" w:bidi="ar"/>
        </w:rPr>
        <w:t>2</w:t>
      </w:r>
      <w:r>
        <w:rPr>
          <w:rFonts w:hint="default" w:ascii="Times New Roman" w:hAnsi="Times New Roman" w:eastAsia="仿宋_GB2312" w:cs="Times New Roman"/>
          <w:b w:val="0"/>
          <w:bCs/>
          <w:kern w:val="0"/>
          <w:sz w:val="32"/>
          <w:szCs w:val="32"/>
          <w:lang w:bidi="ar"/>
        </w:rPr>
        <w:t xml:space="preserve">年底，我街道无政府债务。 </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b w:val="0"/>
          <w:bCs/>
          <w:kern w:val="0"/>
          <w:sz w:val="32"/>
          <w:szCs w:val="32"/>
          <w:lang w:bidi="ar"/>
        </w:rPr>
      </w:pPr>
      <w:r>
        <w:rPr>
          <w:rFonts w:hint="eastAsia" w:ascii="黑体" w:hAnsi="黑体" w:eastAsia="黑体" w:cs="黑体"/>
          <w:b w:val="0"/>
          <w:bCs/>
          <w:kern w:val="0"/>
          <w:sz w:val="32"/>
          <w:szCs w:val="32"/>
          <w:lang w:bidi="ar"/>
        </w:rPr>
        <w:t>三</w:t>
      </w:r>
      <w:r>
        <w:rPr>
          <w:rFonts w:hint="eastAsia" w:ascii="黑体" w:hAnsi="黑体" w:eastAsia="黑体" w:cs="黑体"/>
          <w:b w:val="0"/>
          <w:bCs/>
          <w:kern w:val="0"/>
          <w:sz w:val="32"/>
          <w:szCs w:val="32"/>
          <w:lang w:eastAsia="zh-CN" w:bidi="ar"/>
        </w:rPr>
        <w:t>、</w:t>
      </w:r>
      <w:r>
        <w:rPr>
          <w:rFonts w:hint="eastAsia" w:ascii="黑体" w:hAnsi="黑体" w:eastAsia="黑体" w:cs="黑体"/>
          <w:b w:val="0"/>
          <w:bCs/>
          <w:kern w:val="0"/>
          <w:sz w:val="32"/>
          <w:szCs w:val="32"/>
          <w:lang w:bidi="ar"/>
        </w:rPr>
        <w:t>一般公共预算“三公”经费</w:t>
      </w:r>
      <w:r>
        <w:rPr>
          <w:rFonts w:hint="eastAsia" w:ascii="黑体" w:hAnsi="黑体" w:eastAsia="黑体" w:cs="黑体"/>
          <w:b w:val="0"/>
          <w:bCs/>
          <w:kern w:val="0"/>
          <w:sz w:val="32"/>
          <w:szCs w:val="32"/>
          <w:lang w:eastAsia="zh-CN" w:bidi="ar"/>
        </w:rPr>
        <w:t>决算执行</w:t>
      </w:r>
      <w:r>
        <w:rPr>
          <w:rFonts w:hint="eastAsia" w:ascii="黑体" w:hAnsi="黑体" w:eastAsia="黑体" w:cs="黑体"/>
          <w:b w:val="0"/>
          <w:bCs/>
          <w:kern w:val="0"/>
          <w:sz w:val="32"/>
          <w:szCs w:val="32"/>
          <w:lang w:bidi="ar"/>
        </w:rPr>
        <w:t>情况</w:t>
      </w:r>
    </w:p>
    <w:p>
      <w:pPr>
        <w:keepNext w:val="0"/>
        <w:keepLines w:val="0"/>
        <w:pageBreakBefore w:val="0"/>
        <w:widowControl w:val="0"/>
        <w:kinsoku/>
        <w:wordWrap/>
        <w:overflowPunct/>
        <w:topLinePunct w:val="0"/>
        <w:bidi w:val="0"/>
        <w:adjustRightInd w:val="0"/>
        <w:snapToGrid w:val="0"/>
        <w:spacing w:line="336" w:lineRule="auto"/>
        <w:jc w:val="both"/>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w:t>
      </w:r>
      <w:r>
        <w:rPr>
          <w:rFonts w:hint="default" w:ascii="Times New Roman" w:hAnsi="Times New Roman" w:eastAsia="仿宋_GB2312" w:cs="Times New Roman"/>
          <w:sz w:val="32"/>
          <w:szCs w:val="32"/>
        </w:rPr>
        <w:t xml:space="preserve"> 2022年汇总全街道各预算单位“三公”经费财政拨款总额164.25万元，同比增加1.45万元，增幅0.9%，其中因公出国（境）费用1.18万元，同比增加0.83万元，增幅237.1%；公务接待费6.78万元，同比增加1.75万元，增幅34.8%；公务用车费156.29万元，同比减少1.13万元，降幅0.7%（包括：公务用车运行维护费102.44万元和公务用车购置费53.85万元）。我街道将继续压实“三公”经费支出，坚持严格执行“三公”经费、差旅、会议、培训等公务支出经费管理办法，坚持围绕建设节约型政府，督促各预算单位准确把握本部门的“三公”经费情况，及时按要求对预决算情况进行公开，积极接收市人大的依法监督，进一步完善厉行节约长效机制。</w:t>
      </w:r>
    </w:p>
    <w:p>
      <w:pPr>
        <w:keepNext w:val="0"/>
        <w:keepLines w:val="0"/>
        <w:pageBreakBefore w:val="0"/>
        <w:widowControl w:val="0"/>
        <w:kinsoku/>
        <w:wordWrap/>
        <w:overflowPunct/>
        <w:topLinePunct w:val="0"/>
        <w:bidi w:val="0"/>
        <w:adjustRightInd w:val="0"/>
        <w:snapToGrid w:val="0"/>
        <w:spacing w:line="336" w:lineRule="auto"/>
        <w:ind w:firstLine="640" w:firstLineChars="200"/>
        <w:jc w:val="both"/>
        <w:textAlignment w:val="auto"/>
        <w:rPr>
          <w:rFonts w:hint="eastAsia" w:ascii="黑体" w:hAnsi="黑体" w:eastAsia="黑体" w:cs="黑体"/>
          <w:b w:val="0"/>
          <w:bCs/>
          <w:kern w:val="0"/>
          <w:sz w:val="32"/>
          <w:szCs w:val="32"/>
          <w:lang w:bidi="ar"/>
        </w:rPr>
      </w:pPr>
      <w:r>
        <w:rPr>
          <w:rFonts w:hint="eastAsia" w:ascii="黑体" w:hAnsi="黑体" w:eastAsia="黑体" w:cs="黑体"/>
          <w:b w:val="0"/>
          <w:bCs/>
          <w:kern w:val="0"/>
          <w:sz w:val="32"/>
          <w:szCs w:val="32"/>
          <w:lang w:bidi="ar"/>
        </w:rPr>
        <w:t>四</w:t>
      </w:r>
      <w:r>
        <w:rPr>
          <w:rFonts w:hint="eastAsia" w:ascii="黑体" w:hAnsi="黑体" w:eastAsia="黑体" w:cs="黑体"/>
          <w:b w:val="0"/>
          <w:bCs/>
          <w:kern w:val="0"/>
          <w:sz w:val="32"/>
          <w:szCs w:val="32"/>
          <w:lang w:eastAsia="zh-CN" w:bidi="ar"/>
        </w:rPr>
        <w:t>、</w:t>
      </w:r>
      <w:r>
        <w:rPr>
          <w:rFonts w:hint="eastAsia" w:ascii="黑体" w:hAnsi="黑体" w:eastAsia="黑体" w:cs="黑体"/>
          <w:b w:val="0"/>
          <w:bCs/>
          <w:kern w:val="0"/>
          <w:sz w:val="32"/>
          <w:szCs w:val="32"/>
          <w:lang w:bidi="ar"/>
        </w:rPr>
        <w:t>预算绩效工作推进情况</w:t>
      </w:r>
    </w:p>
    <w:p>
      <w:pPr>
        <w:keepNext w:val="0"/>
        <w:keepLines w:val="0"/>
        <w:pageBreakBefore w:val="0"/>
        <w:widowControl w:val="0"/>
        <w:kinsoku/>
        <w:wordWrap/>
        <w:overflowPunct/>
        <w:topLinePunct w:val="0"/>
        <w:bidi w:val="0"/>
        <w:adjustRightInd w:val="0"/>
        <w:snapToGrid w:val="0"/>
        <w:spacing w:line="336" w:lineRule="auto"/>
        <w:ind w:firstLine="640"/>
        <w:jc w:val="both"/>
        <w:textAlignment w:val="auto"/>
        <w:rPr>
          <w:rFonts w:hint="default" w:ascii="Times New Roman" w:hAnsi="Times New Roman" w:eastAsia="仿宋_GB2312" w:cs="Times New Roman"/>
          <w:kern w:val="0"/>
          <w:sz w:val="32"/>
          <w:szCs w:val="32"/>
          <w:lang w:eastAsia="zh-CN" w:bidi="ar"/>
        </w:rPr>
      </w:pPr>
      <w:bookmarkStart w:id="0" w:name="PO_part3A1Achie"/>
      <w:r>
        <w:rPr>
          <w:rFonts w:hint="default" w:ascii="Times New Roman" w:hAnsi="Times New Roman" w:eastAsia="仿宋_GB2312" w:cs="Times New Roman"/>
          <w:kern w:val="0"/>
          <w:sz w:val="32"/>
          <w:szCs w:val="32"/>
          <w:lang w:eastAsia="zh-CN" w:bidi="ar"/>
        </w:rPr>
        <w:t>一是继续</w:t>
      </w:r>
      <w:r>
        <w:rPr>
          <w:rFonts w:hint="default" w:ascii="Times New Roman" w:hAnsi="Times New Roman" w:eastAsia="仿宋_GB2312" w:cs="Times New Roman"/>
          <w:kern w:val="0"/>
          <w:sz w:val="32"/>
          <w:szCs w:val="32"/>
          <w:lang w:bidi="ar"/>
        </w:rPr>
        <w:t>深化预算绩效管理改革，强化绩效目标申报审核机制</w:t>
      </w:r>
      <w:r>
        <w:rPr>
          <w:rFonts w:hint="default" w:ascii="Times New Roman" w:hAnsi="Times New Roman" w:eastAsia="仿宋_GB2312" w:cs="Times New Roman"/>
          <w:kern w:val="0"/>
          <w:sz w:val="32"/>
          <w:szCs w:val="32"/>
          <w:lang w:eastAsia="zh-CN" w:bidi="ar"/>
        </w:rPr>
        <w:t>，实现绩效评价全流程、全覆盖管理。将预算绩效评审结果与预算安排挂钩，提高预算编制的科学性及精确度，进一步明确预算绩效目标管理的职责分工、程序等要求，按照权责统一的原则开展，谁申请预算，谁申报目标，谁审核预算，谁审核目标，强化预算责任和绩效责任“双约束”。</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36" w:lineRule="auto"/>
        <w:ind w:right="0" w:firstLine="640" w:firstLineChars="200"/>
        <w:jc w:val="left"/>
        <w:textAlignment w:val="auto"/>
        <w:outlineLvl w:val="9"/>
        <w:rPr>
          <w:rFonts w:hint="default" w:ascii="Times New Roman" w:hAnsi="Times New Roman" w:cs="Times New Roman"/>
        </w:rPr>
      </w:pPr>
      <w:r>
        <w:rPr>
          <w:rFonts w:hint="default" w:ascii="Times New Roman" w:hAnsi="Times New Roman" w:eastAsia="仿宋_GB2312" w:cs="Times New Roman"/>
          <w:kern w:val="0"/>
          <w:sz w:val="32"/>
          <w:szCs w:val="32"/>
          <w:lang w:eastAsia="zh-CN" w:bidi="ar"/>
        </w:rPr>
        <w:t>二是</w:t>
      </w:r>
      <w:r>
        <w:rPr>
          <w:rFonts w:hint="default" w:ascii="Times New Roman" w:hAnsi="Times New Roman" w:eastAsia="仿宋_GB2312" w:cs="Times New Roman"/>
          <w:snapToGrid/>
          <w:spacing w:val="-6"/>
          <w:kern w:val="0"/>
          <w:sz w:val="32"/>
          <w:szCs w:val="32"/>
          <w:lang w:val="en-US" w:eastAsia="zh-CN" w:bidi="ar"/>
        </w:rPr>
        <w:t>加大绩效管理力度，逐步实现绩效管理全覆盖管理模式，落实多层次评价结果应用机制，重点选取</w:t>
      </w:r>
      <w:r>
        <w:rPr>
          <w:rFonts w:hint="default" w:ascii="Times New Roman" w:hAnsi="Times New Roman" w:eastAsia="仿宋_GB2312" w:cs="Times New Roman"/>
          <w:snapToGrid/>
          <w:spacing w:val="-6"/>
          <w:kern w:val="0"/>
          <w:sz w:val="32"/>
          <w:szCs w:val="32"/>
          <w:lang w:val="en-US" w:eastAsia="zh-CN" w:bidi="ar"/>
        </w:rPr>
        <w:t>32</w:t>
      </w:r>
      <w:r>
        <w:rPr>
          <w:rFonts w:hint="default" w:ascii="Times New Roman" w:hAnsi="Times New Roman" w:eastAsia="仿宋_GB2312" w:cs="Times New Roman"/>
          <w:snapToGrid/>
          <w:spacing w:val="-6"/>
          <w:kern w:val="0"/>
          <w:sz w:val="32"/>
          <w:szCs w:val="32"/>
          <w:lang w:val="en-US" w:eastAsia="zh-CN" w:bidi="ar"/>
        </w:rPr>
        <w:t>个本级财政投入的项目进行事后绩效评价工作，选取</w:t>
      </w:r>
      <w:r>
        <w:rPr>
          <w:rFonts w:hint="default" w:ascii="Times New Roman" w:hAnsi="Times New Roman" w:eastAsia="仿宋_GB2312" w:cs="Times New Roman"/>
          <w:snapToGrid/>
          <w:spacing w:val="-6"/>
          <w:kern w:val="0"/>
          <w:sz w:val="32"/>
          <w:szCs w:val="32"/>
          <w:lang w:val="en-US" w:eastAsia="zh-CN" w:bidi="ar"/>
        </w:rPr>
        <w:t>2</w:t>
      </w:r>
      <w:r>
        <w:rPr>
          <w:rFonts w:hint="default" w:ascii="Times New Roman" w:hAnsi="Times New Roman" w:eastAsia="仿宋_GB2312" w:cs="Times New Roman"/>
          <w:snapToGrid/>
          <w:spacing w:val="-6"/>
          <w:kern w:val="0"/>
          <w:sz w:val="32"/>
          <w:szCs w:val="32"/>
          <w:lang w:val="en-US" w:eastAsia="zh-CN" w:bidi="ar"/>
        </w:rPr>
        <w:t>个项目进行现场重点绩效评价</w:t>
      </w:r>
      <w:r>
        <w:rPr>
          <w:rFonts w:hint="eastAsia" w:ascii="Times New Roman" w:hAnsi="Times New Roman" w:eastAsia="仿宋_GB2312" w:cs="Times New Roman"/>
          <w:snapToGrid/>
          <w:spacing w:val="-6"/>
          <w:kern w:val="0"/>
          <w:sz w:val="32"/>
          <w:szCs w:val="32"/>
          <w:lang w:val="en-US" w:eastAsia="zh-CN" w:bidi="ar"/>
        </w:rPr>
        <w:t>和1个部门整体绩效评价</w:t>
      </w:r>
      <w:bookmarkStart w:id="1" w:name="_GoBack"/>
      <w:bookmarkEnd w:id="1"/>
      <w:r>
        <w:rPr>
          <w:rFonts w:hint="default" w:ascii="Times New Roman" w:hAnsi="Times New Roman" w:eastAsia="仿宋_GB2312" w:cs="Times New Roman"/>
          <w:snapToGrid/>
          <w:spacing w:val="-6"/>
          <w:kern w:val="0"/>
          <w:sz w:val="32"/>
          <w:szCs w:val="32"/>
          <w:lang w:val="en-US" w:eastAsia="zh-CN" w:bidi="ar"/>
        </w:rPr>
        <w:t>，建立绩效评价结果与预算编制相挂钩机制，强化预算单位绩效管理主体责任，增强各部门绩效管理意识，不断提高财政资金使用效益。</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2010609010101010101"/>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47264"/>
    <w:rsid w:val="0491658C"/>
    <w:rsid w:val="1E771E56"/>
    <w:rsid w:val="20075162"/>
    <w:rsid w:val="214A4A1D"/>
    <w:rsid w:val="259B6A23"/>
    <w:rsid w:val="2BE47264"/>
    <w:rsid w:val="539362D7"/>
    <w:rsid w:val="540049E6"/>
    <w:rsid w:val="693A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spacing w:before="260" w:after="260" w:line="413" w:lineRule="auto"/>
      <w:jc w:val="left"/>
      <w:outlineLvl w:val="1"/>
    </w:pPr>
    <w:rPr>
      <w:rFonts w:ascii="Arial" w:hAnsi="Arial" w:eastAsia="黑体"/>
      <w:b/>
      <w:bCs/>
      <w:kern w:val="0"/>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Indent 2"/>
    <w:basedOn w:val="1"/>
    <w:unhideWhenUsed/>
    <w:qFormat/>
    <w:uiPriority w:val="0"/>
    <w:pPr>
      <w:spacing w:beforeLines="0" w:after="120" w:afterLines="0" w:line="480" w:lineRule="auto"/>
      <w:ind w:left="420" w:leftChars="200"/>
    </w:pPr>
    <w:rPr>
      <w:rFonts w:hint="default" w:ascii="Times New Roman" w:eastAsia="宋体"/>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表段落"/>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Pages>
  <Words>0</Words>
  <Characters>0</Characters>
  <Lines>0</Lines>
  <Paragraphs>0</Paragraphs>
  <TotalTime>3</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2019-02-01T10:00:00Z</dcterms:created>
  <dc:creator>llh</dc:creator>
  <cp:lastModifiedBy>Administrator</cp:lastModifiedBy>
  <dcterms:modified xsi:type="dcterms:W3CDTF">2023-09-18T09:28:34Z</dcterms:modified>
  <dc:title>第三部分  相关说明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