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bidi w:val="0"/>
        <w:spacing w:line="574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2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kern w:val="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kern w:val="0"/>
          <w:sz w:val="44"/>
          <w:szCs w:val="44"/>
          <w:highlight w:val="none"/>
          <w:lang w:eastAsia="zh-CN"/>
        </w:rPr>
        <w:t>石岐街道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kern w:val="0"/>
          <w:sz w:val="44"/>
          <w:szCs w:val="44"/>
          <w:highlight w:val="none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kern w:val="0"/>
          <w:sz w:val="44"/>
          <w:szCs w:val="44"/>
          <w:highlight w:val="none"/>
        </w:rPr>
        <w:t>年预算执行情况的报告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jc w:val="center"/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jc w:val="center"/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eastAsia="zh-CN"/>
        </w:rPr>
        <w:t>石岐街道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办事处）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jc w:val="center"/>
        <w:rPr>
          <w:rFonts w:hint="default" w:ascii="Times New Roman" w:hAnsi="Times New Roman" w:eastAsia="创艺简标宋" w:cs="Times New Roman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textAlignment w:val="baseline"/>
        <w:rPr>
          <w:rFonts w:hint="default" w:ascii="Times New Roman" w:hAnsi="Times New Roman" w:cs="Times New Roman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2022年，石岐街道全面贯彻落实党的二十大和二十届一中全会精神，以习近平新时代中国特色社会主义思想为指导，紧紧围绕市委、市政府各项重点工作部署，坚持稳中求进工作总基调，全力保障疫情防控和做好“六稳”“六保”工作，兜牢“三保”底线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eastAsia="黑体" w:cs="Times New Roman"/>
          <w:kern w:val="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Cs w:val="32"/>
          <w:highlight w:val="none"/>
        </w:rPr>
        <w:t>一、全</w:t>
      </w:r>
      <w:r>
        <w:rPr>
          <w:rFonts w:hint="default" w:ascii="Times New Roman" w:hAnsi="Times New Roman" w:eastAsia="黑体" w:cs="Times New Roman"/>
          <w:kern w:val="0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黑体" w:cs="Times New Roman"/>
          <w:kern w:val="0"/>
          <w:szCs w:val="32"/>
          <w:highlight w:val="none"/>
        </w:rPr>
        <w:t>财政收支完成情况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</w:rPr>
        <w:t>（一）财政收入执行情况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Cs w:val="32"/>
          <w:highlight w:val="none"/>
        </w:rPr>
        <w:t>。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val="en-US" w:eastAsia="zh-CN"/>
        </w:rPr>
        <w:t>20</w:t>
      </w:r>
      <w:r>
        <w:rPr>
          <w:rFonts w:hint="eastAsia" w:ascii="Times New Roman" w:eastAsia="楷体_GB2312" w:cs="Times New Roman"/>
          <w:kern w:val="0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年，全街道总收入154327万元，具体情况如下：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上级补助收入105994万元，完成调整后预算98.1%，同比增加42306万元，增幅66.4%。其中：返还性收入74655万元（税收返还43272万元，非税返还23080万元，税收基数返还701万元，四税收入返还2648万元，其他返还性收入4954万元），一般性转移支付收入21617万元，专项转移支付收入9722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调入资金26186万元。其中：政府性基金预算调入资金6583万元，其他财政专户调入资金（上年结转结余）13925万元，其他调入资金5678万元。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cs="Times New Roman"/>
          <w:color w:val="000000"/>
          <w:spacing w:val="-2"/>
          <w:kern w:val="0"/>
          <w:szCs w:val="32"/>
          <w:highlight w:val="none"/>
        </w:rPr>
        <w:t>上级补助收入（政府性基金预算）7863万元，完成调整后预算26.5%，同比减少37131万元，降幅82.5%，主要是国有土地使用权出让收入的大幅减少。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left="154" w:leftChars="50" w:firstLine="462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lang w:val="en-US" w:eastAsia="zh-CN"/>
        </w:rPr>
        <w:t>债务转贷收入（政府性基金）10574万元，完成调整后预算100%，同比增加5574万元，增幅111.5%，主要是专项债项目增加，债务转贷收入大幅增加。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left="154" w:leftChars="50" w:firstLine="462" w:firstLineChars="15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kern w:val="0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lang w:val="en-US" w:eastAsia="zh-CN"/>
        </w:rPr>
        <w:t>调入资金（政府性基金）3710万元，均为其他财政专户调入资金（上年结转结余）。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left="154" w:leftChars="50" w:firstLine="462" w:firstLineChars="15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</w:rPr>
        <w:t>（二）财政支出完成情况。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val="en-US" w:eastAsia="zh-CN"/>
        </w:rPr>
        <w:t>202</w:t>
      </w:r>
      <w:r>
        <w:rPr>
          <w:rFonts w:hint="eastAsia" w:ascii="Times New Roman" w:eastAsia="楷体_GB2312" w:cs="Times New Roman"/>
          <w:kern w:val="0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年，全街道总支出149655万元，其中：一般公共预算支出116898万元，完成调整后预算87%，同比减少5992万元，降幅4.9%，上解上级支出10610万元；政府性基金预算支出15332万元，完成调整后预算87.8%，同比增加3116万元，增幅25.5%，主要是用于专项债项目支出大幅增加，上解上级支出（政府性基金）232万元，调出资金6583万元。一般公共预算支出具体情况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一般公共服务支出14970万元，完成调整后预算91.7%，同比增加691万元，增幅4.8%。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公共安全支出21421万元，完成调整后预算92.6%，同比增加199万元，增幅0.9%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3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教育支出37588万元，完成调整后预算90.4%，同比增加6019万元，增幅19.1%，主要是</w:t>
      </w:r>
      <w:r>
        <w:rPr>
          <w:rFonts w:hint="eastAsia" w:ascii="Times New Roman" w:hAnsi="Times New Roman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  <w:lang w:eastAsia="zh-CN"/>
        </w:rPr>
        <w:t>教育队伍建设方面投入增加的支出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科学技术支出801万元，完成调整后预算72.6%，同比增加90万元，增幅12.7%，主要是产业发展扶持资金增加的支出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5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文化旅游体育与传媒支出2361万元，完成调整后预算56.2%，同比减少1042万元，降幅30.6%，主要是受新冠疫情影响公共文化活动开展数量较往年大幅减少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社会保障和就业支出15415万元，完成调整后预算75%，同比减少1166万元，降幅7%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7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卫生健康支出12176万元，完成调整后预算85.2%，同比减少6495万元，降幅34.8%，主要是2021年苏华赞医院大楼搬迁、救护车及设备购置、住院大楼款项转支出等5273万元抬高同期基数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8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节能环保支出5347万元，完成调整后预算81.5%，同比减少1245万元，降幅18.9%，主要是自2021年起改为当年扣缴生态补偿资金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9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城乡社区支出5248万元，完成调整后预算91.2%，同比减少3532万元，降幅40.2%，主要是受规划调整、工程进度影响，2022年中山（石岐）总部经济区相关建设项目费用未能全部支付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10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农林水支出275万元，完成调整后预算77.2%，同比减少434万元，降幅61.2%，主要是政策性扶贫资金减少的支出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住房保障支出872万元，完成调整后预算562.6%，同比增加872万元，主要是上级专项转移支付补助经费增加的支出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1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粮油物资储备支出336万元，完成调整后预算100%，同比减少5万元，降幅1.5%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灾害防治及应急管理支出88万元，完成调整后预算100%，同比增加74万元，增幅528.6%，主要是新增承担城区消防救援大队经费增加的支出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2022年汇总全街道行政事业单位</w:t>
      </w:r>
      <w:r>
        <w:rPr>
          <w:rFonts w:hint="eastAsia" w:ascii="Times New Roman" w:hAnsi="Times New Roman" w:cs="仿宋_GB2312"/>
          <w:b w:val="0"/>
          <w:bCs w:val="0"/>
          <w:spacing w:val="-6"/>
          <w:w w:val="100"/>
          <w:kern w:val="0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三公</w:t>
      </w:r>
      <w:r>
        <w:rPr>
          <w:rFonts w:hint="eastAsia" w:ascii="Times New Roman" w:hAnsi="Times New Roman" w:cs="仿宋_GB2312"/>
          <w:b w:val="0"/>
          <w:bCs w:val="0"/>
          <w:spacing w:val="-6"/>
          <w:w w:val="100"/>
          <w:kern w:val="0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经费财政拨款总额171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，其中因公出国（境）费用1万元、公务接待费7万元、公务用车费163万元（包括：公务用车运行维护费163万元和公务用车购置费0万元）。因公出国（境）费用同比持平；公务接待费同比增加2万元，增幅40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%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，主要是2022年因招商引资、扶贫交流、港澳统战联谊等专项工作需要，公务接待有所增加；公务用车运行维护费同比减少4万元，降幅2.4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%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，主要是2022年严控公务用车出行，运行维护费随之减少。街道已按照有关规定推进预算公开，加大</w:t>
      </w:r>
      <w:r>
        <w:rPr>
          <w:rFonts w:hint="eastAsia" w:ascii="Times New Roman" w:hAnsi="Times New Roman" w:cs="仿宋_GB2312"/>
          <w:b w:val="0"/>
          <w:bCs w:val="0"/>
          <w:spacing w:val="-6"/>
          <w:w w:val="100"/>
          <w:kern w:val="0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三公</w:t>
      </w:r>
      <w:r>
        <w:rPr>
          <w:rFonts w:hint="eastAsia" w:ascii="Times New Roman" w:hAnsi="Times New Roman" w:cs="仿宋_GB2312"/>
          <w:b w:val="0"/>
          <w:bCs w:val="0"/>
          <w:spacing w:val="-6"/>
          <w:w w:val="100"/>
          <w:kern w:val="0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经费信息公开力度，进一步提高部门预算透明度。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</w:rPr>
        <w:t>（三）政府债务情况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0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2022年全街道新增债券额度10574万元，累计债券额度15574万元，全部为地方政府专项债券。当年新增专项债具体安排用于雨污分流管网改造项目6000万元、老旧小区改造项目2234万元、石岐苏华赞医院旧楼加固升级改造工程项目1540万元，以及张溪路改造项目500万元、港隆路工程项目200万元和停车场改造项目100万元。年内已全部支出完毕。此外，2022年上解债券利息、发行费及服务费232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eastAsia="黑体" w:cs="Times New Roman"/>
          <w:kern w:val="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Cs w:val="32"/>
          <w:highlight w:val="none"/>
        </w:rPr>
        <w:t>二、预算平衡和结余情况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2022年全街道财政专户结余4672万元，其中：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cs="Times New Roman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一般公共预算收入（上级补助收入）105994万元，加调入资金26186万元，合计132180万元；减一般公共预算支出116898万元、上解上级支出10610万元，年终结转结余4672万元。</w:t>
      </w:r>
      <w:r>
        <w:rPr>
          <w:rFonts w:hint="default" w:ascii="Times New Roman" w:hAnsi="Times New Roman" w:cs="Times New Roman"/>
          <w:kern w:val="0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cs="Times New Roman"/>
          <w:color w:val="FF0000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政府性基金预算收入（含上级补助收入）7863万元，加债务转贷收入（政府性基金）10574万元、调入资金（政府性基金）3710万元，合计22147万元；减政府性基金预算支出15332万元、上解上级支出（政府性基金）232万元及调出资金6583万元，结转结余为0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eastAsia="黑体" w:cs="Times New Roman"/>
          <w:kern w:val="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Cs w:val="32"/>
          <w:highlight w:val="none"/>
        </w:rPr>
        <w:t>三、预备费使用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highlight w:val="none"/>
        </w:rPr>
        <w:t>及预算调整</w:t>
      </w:r>
      <w:r>
        <w:rPr>
          <w:rFonts w:hint="default" w:ascii="Times New Roman" w:hAnsi="Times New Roman" w:eastAsia="黑体" w:cs="Times New Roman"/>
          <w:kern w:val="0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eastAsia="黑体" w:cs="Times New Roman"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（一）预备费使用情况</w:t>
      </w:r>
      <w:r>
        <w:rPr>
          <w:rFonts w:hint="default" w:ascii="Times New Roman" w:hAnsi="Times New Roman" w:eastAsia="黑体" w:cs="Times New Roman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cs="Times New Roman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w w:val="100"/>
          <w:kern w:val="0"/>
          <w:szCs w:val="32"/>
          <w:highlight w:val="none"/>
        </w:rPr>
        <w:t>2022年全街道安排预备费预算1300万元，动用预备费1300万元，全部调整至卫生健康支出用于新冠肺炎疫情专项。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eastAsia="楷体_GB2312" w:cs="Times New Roman"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（二）</w:t>
      </w:r>
      <w:r>
        <w:rPr>
          <w:rFonts w:hint="default" w:ascii="Times New Roman" w:hAnsi="Times New Roman" w:eastAsia="楷体_GB2312" w:cs="Times New Roman"/>
          <w:color w:val="000000"/>
          <w:kern w:val="0"/>
          <w:szCs w:val="32"/>
          <w:highlight w:val="none"/>
        </w:rPr>
        <w:t>预算调整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</w:rPr>
        <w:t>情况</w:t>
      </w:r>
      <w:r>
        <w:rPr>
          <w:rFonts w:hint="default" w:ascii="Times New Roman" w:hAnsi="Times New Roman" w:eastAsia="楷体_GB2312" w:cs="Times New Roman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>一般公共预算调整情况</w:t>
      </w: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2022年全街道一般公共预算总支出由年初130156万元调整为147280万元，调增17124万元，剔除不属于预算调整事项的新增上级专项转移支付支出9448万元等情况后，街道一般公共预算支出调增7676万元，主要用于新增体育路学校</w:t>
      </w:r>
      <w:r>
        <w:rPr>
          <w:rFonts w:hint="eastAsia" w:ascii="Times New Roman" w:hAnsi="Times New Roman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民转公</w:t>
      </w:r>
      <w:r>
        <w:rPr>
          <w:rFonts w:hint="eastAsia" w:ascii="Times New Roman" w:hAnsi="Times New Roman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支出、岐江实验小学建设支出，体制上解支出、城乡居民医疗保险缴费财政补贴等上解支出等。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eastAsia="仿宋_GB2312" w:cs="Times New Roman"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kern w:val="0"/>
          <w:szCs w:val="32"/>
          <w:highlight w:val="none"/>
        </w:rPr>
        <w:t>政府性基金预算调整情况</w:t>
      </w:r>
      <w:r>
        <w:rPr>
          <w:rFonts w:hint="default" w:ascii="Times New Roman" w:hAnsi="Times New Roman" w:cs="Times New Roman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74" w:lineRule="exact"/>
        <w:ind w:firstLine="616" w:firstLineChars="200"/>
        <w:jc w:val="left"/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w w:val="100"/>
          <w:kern w:val="0"/>
          <w:szCs w:val="32"/>
          <w:highlight w:val="none"/>
        </w:rPr>
        <w:t>2022年全街道政府性基金总支出从年初的33239万元调整为46529万元，调增13290万元，剔除不属于预算调整事项的新增上级专项转移支付支出3454万元等情况后，街道政府性基金预算支出调增9836万元，主要用于石岐街道雨污分流管网改造项目、中山市康复医院改扩建项目-石岐苏华赞医院旧楼加固升级改造工程项目、老旧小区改造工程等专项债项目支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eastAsia="黑体" w:cs="Times New Roman"/>
          <w:kern w:val="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Cs w:val="32"/>
          <w:highlight w:val="none"/>
        </w:rPr>
        <w:t>四、重点收支完成情况及效益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00"/>
        <w:rPr>
          <w:rFonts w:hint="default" w:ascii="Times New Roman" w:hAnsi="Times New Roman" w:cs="Times New Roman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2022年，石岐街道财政预算坚持统筹兼顾、量入为出，充分利用各类资金资源资产，依法依规积极组织收入，合理压减预算支出规模，紧紧围绕中央和省、市、街道的重大战略部署安排预算，资金投向街道经济社会发展的重点项目和民生领域的薄弱环节，强化财政收支监测和风险防控，兜牢“三保”底线。具体执行情况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  <w:t>（一）</w:t>
      </w:r>
      <w:r>
        <w:rPr>
          <w:rFonts w:ascii="Times New Roman" w:hAnsi="Times New Roman" w:eastAsia="楷体_GB2312" w:cs="Times New Roman"/>
          <w:b w:val="0"/>
          <w:bCs w:val="0"/>
          <w:spacing w:val="-6"/>
          <w:w w:val="100"/>
          <w:kern w:val="0"/>
          <w:szCs w:val="32"/>
          <w:highlight w:val="none"/>
        </w:rPr>
        <w:t>做好资源统筹，增强财政可持续保障能力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w w:val="100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00"/>
        <w:rPr>
          <w:rFonts w:hint="default" w:ascii="Times New Roman" w:hAnsi="Times New Roman" w:cs="Times New Roman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一是科学统筹组织收入，积极争取上级资金。积极向市级争取申请提前预拨税收分成款和临时救助金；盘活利用国有资产资源，加快物业租金收入的上缴与返还；支持和引导部门拓宽增收渠道，挖掘非税收入潜力，及时向部门反馈非税收入完成情况，督促执收部门加快非税收入入库进度，做到应收尽收、颗粒归仓。二是多方协作，做好年度债券发行工作。各职能部门密切协作，积极谋划专项债储备项目，加大与市财政局、债券项目申报单位和协办银行的沟通协调力度，做好债券“一案两书”等发行资料准备工作，积极争取专项债资金，缓解街道财政压力。全年街道申请专项债资金6000万元用于雨污分流管网改造，为水污染治理做好资金保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  <w:t>（二）</w:t>
      </w:r>
      <w:r>
        <w:rPr>
          <w:rFonts w:ascii="Times New Roman" w:hAnsi="Times New Roman" w:eastAsia="楷体_GB2312" w:cs="Times New Roman"/>
          <w:b w:val="0"/>
          <w:bCs w:val="0"/>
          <w:spacing w:val="-6"/>
          <w:w w:val="100"/>
          <w:kern w:val="0"/>
          <w:szCs w:val="32"/>
          <w:highlight w:val="none"/>
        </w:rPr>
        <w:t>优化营商环境，推动招商引资取得成效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w w:val="100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00"/>
        <w:rPr>
          <w:rFonts w:hint="default" w:ascii="Times New Roman" w:hAnsi="Times New Roman" w:cs="Times New Roman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一是加快推进总部经济区等重点项目建设，推动富力中心、农商银行大厦、中山欢乐海岸、金鹰万象汇等商业项目加快建成；完善驻企联络机制，修订街道惠企政策，积极引进高端人才，吸引优质企业落户。二是积极到广州、深圳、佛山等粤港澳大湾区节点城市的优质企业及项目进行考察学习，通过沟通交流寻找合作机会，深化产业对接，探索合作空间，积极拓展招商引资渠道，尽全力为街道经济发展注入新血液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  <w:t>（三）</w:t>
      </w:r>
      <w:r>
        <w:rPr>
          <w:rFonts w:ascii="Times New Roman" w:hAnsi="Times New Roman" w:eastAsia="楷体_GB2312" w:cs="Times New Roman"/>
          <w:b w:val="0"/>
          <w:bCs w:val="0"/>
          <w:spacing w:val="-6"/>
          <w:w w:val="100"/>
          <w:kern w:val="0"/>
          <w:szCs w:val="32"/>
          <w:highlight w:val="none"/>
        </w:rPr>
        <w:t>持续改善民生，保证基本公共服务质量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w w:val="100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00"/>
        <w:rPr>
          <w:rFonts w:hint="default" w:ascii="Times New Roman" w:hAnsi="Times New Roman" w:cs="Times New Roman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一是兜牢兜实民生服务。结合辖区困难群众对社会服务的需求，动员部门、协会、社工、志愿者等多方力量，为困难群众提供助学、居家改造、养老、康体等方面服务，切实保障困难弱势群体合法权益。二是持续加大力度保障教育事业发展。加快岐江实验小学二次装修进程，顺利完成体育路学校转制改革工作；加大现有学校学位潜力挖掘，不断改善学校办学条件；邀请市一级专家开展教学指导，全面开展各学科课标培训，指导一线教育教学，全力提升教育质量。三是维护社会平安稳定。紧扣主题主线，构建多层督导体系，全面强化安保维稳各项措施，为党的二十大胜利召开创造了安定有序的社会环境；深化公安“放管服”改革，率先完成派出所合署办公和“两队一室”改革，反诈中心、执法办案中心提质增效，组建情报指挥合成作战中心和专职监督队伍等一系列警务改革项目。四是着力构建完善公共卫生服务体系。紧盯国内外疫情发展变化，慎终如始、抓紧抓实抓细“外防输入、内防反弹”各项措施，坚决防止简单化、一刀切，做好重点人员健康管控；加快推进康复医疗资源提质扩容，实施“错位发展、专科康复”的医院发展战略，持续打造“小综合、大康复”特色医疗项目，推进完善辖区医疗康复网络体系，为辖区居民筑好健康堡垒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Cs w:val="32"/>
          <w:highlight w:val="none"/>
          <w:lang w:eastAsia="zh-CN"/>
        </w:rPr>
        <w:t>（四）</w:t>
      </w:r>
      <w:r>
        <w:rPr>
          <w:rFonts w:ascii="Times New Roman" w:hAnsi="Times New Roman" w:eastAsia="楷体_GB2312" w:cs="Times New Roman"/>
          <w:b w:val="0"/>
          <w:bCs w:val="0"/>
          <w:spacing w:val="-6"/>
          <w:w w:val="100"/>
          <w:kern w:val="0"/>
          <w:szCs w:val="32"/>
          <w:highlight w:val="none"/>
        </w:rPr>
        <w:t>聚焦支出效益，提高财政资金全过程管理水平</w:t>
      </w:r>
      <w:r>
        <w:rPr>
          <w:rFonts w:hint="eastAsia" w:ascii="Times New Roman" w:hAnsi="Times New Roman" w:eastAsia="楷体_GB2312" w:cs="Times New Roman"/>
          <w:b w:val="0"/>
          <w:bCs w:val="0"/>
          <w:spacing w:val="-6"/>
          <w:w w:val="100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00"/>
        <w:rPr>
          <w:rFonts w:hint="default" w:ascii="Times New Roman" w:hAnsi="Times New Roman" w:cs="Times New Roman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一是强化预算管理和收支分析，按月汇总各单位资金使用计划，核准核实财政收支，研判收支形势；部门公用经费“压减再压减”，非必要经费一律不予开支，全力做好“三保”保障和民生兜底工作。二是组织开展全面绩效评价工作，基本实现“全方位、全过程、全覆盖”的预算绩效管理模式。全面开展事前评审、绩效目标核查、事中监控、事后评价、政策性绩效评价、部门整体绩效评价、重点项目（PPP项目）的绩效评价等工作，通过绩效评价倒逼项目管理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  <w:outlineLvl w:val="0"/>
        <w:rPr>
          <w:rFonts w:hint="default" w:ascii="Times New Roman" w:hAnsi="Times New Roman" w:eastAsia="黑体" w:cs="Times New Roman"/>
          <w:kern w:val="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Cs w:val="32"/>
          <w:highlight w:val="none"/>
        </w:rPr>
        <w:t>五、本</w:t>
      </w:r>
      <w:r>
        <w:rPr>
          <w:rFonts w:hint="default" w:ascii="Times New Roman" w:hAnsi="Times New Roman" w:eastAsia="黑体" w:cs="Times New Roman"/>
          <w:kern w:val="0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黑体" w:cs="Times New Roman"/>
          <w:kern w:val="0"/>
          <w:szCs w:val="32"/>
          <w:highlight w:val="none"/>
        </w:rPr>
        <w:t>预算超收安排支出情况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kern w:val="0"/>
          <w:szCs w:val="32"/>
          <w:highlight w:val="none"/>
          <w:lang w:val="en-US" w:eastAsia="zh-CN"/>
        </w:rPr>
        <w:t>202</w:t>
      </w:r>
      <w:r>
        <w:rPr>
          <w:rFonts w:hint="eastAsia" w:ascii="Times New Roman" w:cs="Times New Roman"/>
          <w:kern w:val="0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kern w:val="0"/>
          <w:szCs w:val="32"/>
          <w:highlight w:val="none"/>
        </w:rPr>
        <w:t>年，</w:t>
      </w:r>
      <w:r>
        <w:rPr>
          <w:rFonts w:hint="eastAsia" w:ascii="Times New Roman" w:cs="Times New Roman"/>
          <w:kern w:val="0"/>
          <w:szCs w:val="32"/>
          <w:highlight w:val="none"/>
          <w:lang w:eastAsia="zh-CN"/>
        </w:rPr>
        <w:t>石岐</w:t>
      </w:r>
      <w:r>
        <w:rPr>
          <w:rFonts w:hint="default" w:ascii="Times New Roman" w:hAnsi="Times New Roman" w:cs="Times New Roman"/>
          <w:spacing w:val="0"/>
          <w:kern w:val="0"/>
          <w:szCs w:val="32"/>
          <w:highlight w:val="none"/>
          <w:lang w:eastAsia="zh-CN"/>
        </w:rPr>
        <w:t>街道</w:t>
      </w:r>
      <w:r>
        <w:rPr>
          <w:rFonts w:hint="eastAsia" w:ascii="Times New Roman" w:cs="Times New Roman"/>
          <w:color w:val="000000"/>
          <w:spacing w:val="-2"/>
          <w:kern w:val="0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cs="Times New Roman"/>
          <w:spacing w:val="0"/>
          <w:kern w:val="0"/>
          <w:szCs w:val="32"/>
          <w:highlight w:val="none"/>
        </w:rPr>
        <w:t>超收收入</w:t>
      </w:r>
      <w:r>
        <w:rPr>
          <w:rFonts w:hint="default" w:ascii="Times New Roman" w:hAnsi="Times New Roman" w:cs="Times New Roman"/>
          <w:color w:val="000000"/>
          <w:spacing w:val="-2"/>
          <w:kern w:val="0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4" w:lineRule="exact"/>
        <w:ind w:firstLine="616" w:firstLineChars="200"/>
      </w:pPr>
      <w:r>
        <w:rPr>
          <w:rFonts w:hint="default" w:ascii="Times New Roman" w:hAnsi="Times New Roman" w:cs="Times New Roman"/>
          <w:kern w:val="0"/>
          <w:szCs w:val="32"/>
          <w:highlight w:val="none"/>
        </w:rPr>
        <w:t>2023年是全面贯彻党的二十大精神的开局之年，石岐街道将继续坚持以习近平新时代中国特色社会主义思想为指导，紧紧围绕党的二十大和二十届一中全会作出的决策部署及市委、市政府的工作部署，紧密联系财政改革发展实际，坚持“总额控制、全面从紧”工作总基调，统筹推进稳增长、促改革、调结构、惠民生、防风险工作，找准工作定位，理清工作思路，明确工作举措，为中山实现新的战略定位和建设和谐美好石岐作出应有贡献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60C1"/>
    <w:rsid w:val="006C2AD0"/>
    <w:rsid w:val="061234AD"/>
    <w:rsid w:val="064F7FA9"/>
    <w:rsid w:val="076860C1"/>
    <w:rsid w:val="0AAD0F42"/>
    <w:rsid w:val="0C26299B"/>
    <w:rsid w:val="0CA85076"/>
    <w:rsid w:val="0F3C1109"/>
    <w:rsid w:val="0FD82767"/>
    <w:rsid w:val="12DB437F"/>
    <w:rsid w:val="1A8123C9"/>
    <w:rsid w:val="1DCA0E3D"/>
    <w:rsid w:val="21911959"/>
    <w:rsid w:val="25985A6B"/>
    <w:rsid w:val="276F08FD"/>
    <w:rsid w:val="27F513DD"/>
    <w:rsid w:val="28537AE9"/>
    <w:rsid w:val="2945060C"/>
    <w:rsid w:val="29533CB9"/>
    <w:rsid w:val="2A8626BA"/>
    <w:rsid w:val="2B1E7155"/>
    <w:rsid w:val="30A11FD9"/>
    <w:rsid w:val="32245B05"/>
    <w:rsid w:val="339E4EB3"/>
    <w:rsid w:val="359B14AE"/>
    <w:rsid w:val="35B841DC"/>
    <w:rsid w:val="35D705C9"/>
    <w:rsid w:val="35E07BD0"/>
    <w:rsid w:val="37F63D9F"/>
    <w:rsid w:val="3A223F88"/>
    <w:rsid w:val="3C131D6A"/>
    <w:rsid w:val="4629058C"/>
    <w:rsid w:val="475E3B19"/>
    <w:rsid w:val="4C64386B"/>
    <w:rsid w:val="4D333FED"/>
    <w:rsid w:val="4E076EE9"/>
    <w:rsid w:val="52296EE0"/>
    <w:rsid w:val="563F7BE0"/>
    <w:rsid w:val="5E0747D2"/>
    <w:rsid w:val="63EC1697"/>
    <w:rsid w:val="670907D5"/>
    <w:rsid w:val="6F0E080F"/>
    <w:rsid w:val="73A1668F"/>
    <w:rsid w:val="79706044"/>
    <w:rsid w:val="79EC6368"/>
    <w:rsid w:val="7C24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3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中山市信访局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2022-09-20T02:07:00Z</dcterms:created>
  <dc:creator>CZ</dc:creator>
  <cp:lastModifiedBy>Jeff</cp:lastModifiedBy>
  <dcterms:modified xsi:type="dcterms:W3CDTF">2023-09-11T10:13:37Z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