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574" w:lineRule="exact"/>
        <w:jc w:val="center"/>
        <w:textAlignment w:val="auto"/>
        <w:outlineLvl w:val="0"/>
        <w:rPr>
          <w:rFonts w:ascii="方正小标宋_GBK" w:hAnsi="方正小标宋_GBK" w:eastAsia="方正小标宋_GBK"/>
          <w:b w:val="0"/>
          <w:bCs w:val="0"/>
          <w:sz w:val="30"/>
        </w:rPr>
      </w:pPr>
      <w:bookmarkStart w:id="0" w:name="_Toc24724723"/>
      <w:r>
        <w:rPr>
          <w:rFonts w:hint="eastAsia" w:ascii="方正小标宋_GBK" w:hAnsi="方正小标宋_GBK" w:eastAsia="方正小标宋_GBK"/>
          <w:b w:val="0"/>
          <w:bCs w:val="0"/>
          <w:sz w:val="30"/>
          <w:lang w:val="en-US" w:eastAsia="zh-CN"/>
        </w:rPr>
        <w:t>南头镇</w:t>
      </w:r>
      <w:r>
        <w:rPr>
          <w:rFonts w:hint="eastAsia" w:ascii="方正小标宋_GBK" w:hAnsi="方正小标宋_GBK" w:eastAsia="方正小标宋_GBK"/>
          <w:b w:val="0"/>
          <w:bCs w:val="0"/>
          <w:sz w:val="30"/>
        </w:rPr>
        <w:t>公共文化服务领域基层政务公开标准目录</w:t>
      </w:r>
      <w:bookmarkEnd w:id="0"/>
    </w:p>
    <w:tbl>
      <w:tblPr>
        <w:tblStyle w:val="6"/>
        <w:tblW w:w="14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684"/>
        <w:gridCol w:w="1509"/>
        <w:gridCol w:w="1916"/>
        <w:gridCol w:w="1746"/>
        <w:gridCol w:w="1539"/>
        <w:gridCol w:w="1329"/>
        <w:gridCol w:w="1342"/>
        <w:gridCol w:w="672"/>
        <w:gridCol w:w="660"/>
        <w:gridCol w:w="513"/>
        <w:gridCol w:w="672"/>
        <w:gridCol w:w="671"/>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4" w:type="dxa"/>
            <w:vMerge w:val="restart"/>
            <w:vAlign w:val="center"/>
          </w:tcPr>
          <w:p>
            <w:pPr>
              <w:widowControl/>
              <w:jc w:val="center"/>
              <w:rPr>
                <w:rFonts w:ascii="Times New Roman" w:hAnsi="Times New Roman"/>
                <w:color w:val="auto"/>
                <w:kern w:val="0"/>
                <w:sz w:val="22"/>
              </w:rPr>
            </w:pPr>
            <w:r>
              <w:rPr>
                <w:rFonts w:ascii="Times New Roman" w:hAnsi="宋体"/>
                <w:color w:val="auto"/>
                <w:kern w:val="0"/>
                <w:sz w:val="22"/>
              </w:rPr>
              <w:t>序号</w:t>
            </w:r>
          </w:p>
        </w:tc>
        <w:tc>
          <w:tcPr>
            <w:tcW w:w="2193" w:type="dxa"/>
            <w:gridSpan w:val="2"/>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公开事项</w:t>
            </w:r>
          </w:p>
        </w:tc>
        <w:tc>
          <w:tcPr>
            <w:tcW w:w="1916" w:type="dxa"/>
            <w:vMerge w:val="restart"/>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公开内容（要素）</w:t>
            </w:r>
          </w:p>
        </w:tc>
        <w:tc>
          <w:tcPr>
            <w:tcW w:w="1746" w:type="dxa"/>
            <w:vMerge w:val="restart"/>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公开依据</w:t>
            </w:r>
          </w:p>
        </w:tc>
        <w:tc>
          <w:tcPr>
            <w:tcW w:w="1539" w:type="dxa"/>
            <w:vMerge w:val="restart"/>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公开时限</w:t>
            </w:r>
          </w:p>
        </w:tc>
        <w:tc>
          <w:tcPr>
            <w:tcW w:w="1329" w:type="dxa"/>
            <w:vMerge w:val="restart"/>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公开主体</w:t>
            </w:r>
          </w:p>
        </w:tc>
        <w:tc>
          <w:tcPr>
            <w:tcW w:w="1342" w:type="dxa"/>
            <w:vMerge w:val="restart"/>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公开渠道和载体</w:t>
            </w:r>
          </w:p>
        </w:tc>
        <w:tc>
          <w:tcPr>
            <w:tcW w:w="1332" w:type="dxa"/>
            <w:gridSpan w:val="2"/>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公开对象</w:t>
            </w:r>
          </w:p>
        </w:tc>
        <w:tc>
          <w:tcPr>
            <w:tcW w:w="1185" w:type="dxa"/>
            <w:gridSpan w:val="2"/>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公开方式</w:t>
            </w:r>
          </w:p>
        </w:tc>
        <w:tc>
          <w:tcPr>
            <w:tcW w:w="1455" w:type="dxa"/>
            <w:gridSpan w:val="2"/>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4" w:type="dxa"/>
            <w:vMerge w:val="continue"/>
            <w:vAlign w:val="center"/>
          </w:tcPr>
          <w:p>
            <w:pPr>
              <w:widowControl/>
              <w:jc w:val="left"/>
              <w:rPr>
                <w:rFonts w:ascii="Times New Roman" w:hAnsi="Times New Roman"/>
                <w:color w:val="auto"/>
                <w:kern w:val="0"/>
                <w:sz w:val="22"/>
              </w:rPr>
            </w:pPr>
          </w:p>
        </w:tc>
        <w:tc>
          <w:tcPr>
            <w:tcW w:w="684"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一级事项</w:t>
            </w:r>
          </w:p>
        </w:tc>
        <w:tc>
          <w:tcPr>
            <w:tcW w:w="1509"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二级事项</w:t>
            </w:r>
          </w:p>
        </w:tc>
        <w:tc>
          <w:tcPr>
            <w:tcW w:w="1916" w:type="dxa"/>
            <w:vMerge w:val="continue"/>
            <w:vAlign w:val="center"/>
          </w:tcPr>
          <w:p>
            <w:pPr>
              <w:widowControl/>
              <w:jc w:val="left"/>
              <w:rPr>
                <w:rFonts w:ascii="黑体" w:hAnsi="宋体" w:eastAsia="黑体" w:cs="宋体"/>
                <w:color w:val="auto"/>
                <w:kern w:val="0"/>
                <w:sz w:val="22"/>
              </w:rPr>
            </w:pPr>
          </w:p>
        </w:tc>
        <w:tc>
          <w:tcPr>
            <w:tcW w:w="1746" w:type="dxa"/>
            <w:vMerge w:val="continue"/>
            <w:vAlign w:val="center"/>
          </w:tcPr>
          <w:p>
            <w:pPr>
              <w:widowControl/>
              <w:jc w:val="left"/>
              <w:rPr>
                <w:rFonts w:ascii="黑体" w:hAnsi="宋体" w:eastAsia="黑体" w:cs="宋体"/>
                <w:color w:val="auto"/>
                <w:kern w:val="0"/>
                <w:sz w:val="22"/>
              </w:rPr>
            </w:pPr>
          </w:p>
        </w:tc>
        <w:tc>
          <w:tcPr>
            <w:tcW w:w="1539" w:type="dxa"/>
            <w:vMerge w:val="continue"/>
            <w:vAlign w:val="center"/>
          </w:tcPr>
          <w:p>
            <w:pPr>
              <w:widowControl/>
              <w:jc w:val="left"/>
              <w:rPr>
                <w:rFonts w:ascii="黑体" w:hAnsi="宋体" w:eastAsia="黑体" w:cs="宋体"/>
                <w:color w:val="auto"/>
                <w:kern w:val="0"/>
                <w:sz w:val="22"/>
              </w:rPr>
            </w:pPr>
          </w:p>
        </w:tc>
        <w:tc>
          <w:tcPr>
            <w:tcW w:w="1329" w:type="dxa"/>
            <w:vMerge w:val="continue"/>
            <w:vAlign w:val="center"/>
          </w:tcPr>
          <w:p>
            <w:pPr>
              <w:widowControl/>
              <w:jc w:val="left"/>
              <w:rPr>
                <w:rFonts w:ascii="黑体" w:hAnsi="宋体" w:eastAsia="黑体" w:cs="宋体"/>
                <w:color w:val="auto"/>
                <w:kern w:val="0"/>
                <w:sz w:val="22"/>
              </w:rPr>
            </w:pPr>
          </w:p>
        </w:tc>
        <w:tc>
          <w:tcPr>
            <w:tcW w:w="1342" w:type="dxa"/>
            <w:vMerge w:val="continue"/>
            <w:vAlign w:val="center"/>
          </w:tcPr>
          <w:p>
            <w:pPr>
              <w:widowControl/>
              <w:jc w:val="left"/>
              <w:rPr>
                <w:rFonts w:ascii="黑体" w:hAnsi="宋体" w:eastAsia="黑体" w:cs="宋体"/>
                <w:color w:val="auto"/>
                <w:kern w:val="0"/>
                <w:sz w:val="22"/>
              </w:rPr>
            </w:pPr>
          </w:p>
        </w:tc>
        <w:tc>
          <w:tcPr>
            <w:tcW w:w="672"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全社会</w:t>
            </w:r>
          </w:p>
        </w:tc>
        <w:tc>
          <w:tcPr>
            <w:tcW w:w="660"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特定群众</w:t>
            </w:r>
          </w:p>
        </w:tc>
        <w:tc>
          <w:tcPr>
            <w:tcW w:w="513"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主动</w:t>
            </w:r>
          </w:p>
        </w:tc>
        <w:tc>
          <w:tcPr>
            <w:tcW w:w="672"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依申请公开</w:t>
            </w:r>
          </w:p>
        </w:tc>
        <w:tc>
          <w:tcPr>
            <w:tcW w:w="671"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lang w:eastAsia="zh-CN"/>
              </w:rPr>
              <w:t>市</w:t>
            </w:r>
            <w:r>
              <w:rPr>
                <w:rFonts w:hint="eastAsia" w:ascii="黑体" w:hAnsi="宋体" w:eastAsia="黑体" w:cs="宋体"/>
                <w:color w:val="auto"/>
                <w:kern w:val="0"/>
                <w:sz w:val="22"/>
              </w:rPr>
              <w:t>级</w:t>
            </w:r>
          </w:p>
        </w:tc>
        <w:tc>
          <w:tcPr>
            <w:tcW w:w="784"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lang w:eastAsia="zh-CN"/>
              </w:rPr>
              <w:t>镇（区）</w:t>
            </w:r>
            <w:r>
              <w:rPr>
                <w:rFonts w:hint="eastAsia" w:ascii="黑体" w:hAnsi="宋体" w:eastAsia="黑体" w:cs="宋体"/>
                <w:color w:val="auto"/>
                <w:kern w:val="0"/>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504" w:type="dxa"/>
            <w:vAlign w:val="center"/>
          </w:tcPr>
          <w:p>
            <w:pPr>
              <w:spacing w:line="240" w:lineRule="exact"/>
              <w:jc w:val="center"/>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许可</w:t>
            </w:r>
          </w:p>
        </w:tc>
        <w:tc>
          <w:tcPr>
            <w:tcW w:w="1509" w:type="dxa"/>
            <w:vAlign w:val="center"/>
          </w:tcPr>
          <w:p>
            <w:pPr>
              <w:spacing w:line="240" w:lineRule="exact"/>
              <w:rPr>
                <w:rFonts w:hint="eastAsia" w:ascii="仿宋_GB2312" w:hAnsi="Times New Roman" w:eastAsia="仿宋_GB2312"/>
                <w:color w:val="auto"/>
                <w:sz w:val="18"/>
                <w:szCs w:val="18"/>
                <w:u w:val="none"/>
                <w:lang w:eastAsia="zh-CN"/>
              </w:rPr>
            </w:pPr>
            <w:r>
              <w:rPr>
                <w:rFonts w:hint="eastAsia" w:ascii="仿宋_GB2312" w:hAnsi="Times New Roman" w:eastAsia="仿宋_GB2312"/>
                <w:color w:val="auto"/>
                <w:sz w:val="18"/>
                <w:szCs w:val="18"/>
                <w:u w:val="none"/>
                <w:lang w:eastAsia="zh-CN"/>
              </w:rPr>
              <w:t>国内营业性演出审批</w:t>
            </w:r>
          </w:p>
          <w:p>
            <w:pPr>
              <w:spacing w:line="240" w:lineRule="exact"/>
              <w:rPr>
                <w:rFonts w:hint="eastAsia" w:ascii="仿宋_GB2312" w:hAnsi="Times New Roman" w:eastAsia="仿宋_GB2312"/>
                <w:color w:val="auto"/>
                <w:sz w:val="18"/>
                <w:szCs w:val="18"/>
                <w:u w:val="none"/>
              </w:rPr>
            </w:pP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746" w:type="dxa"/>
            <w:vAlign w:val="center"/>
          </w:tcPr>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1.《中华人民共和国行政许可法》</w:t>
            </w:r>
          </w:p>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2.《中华人民共和国政府信息公开条例》</w:t>
            </w:r>
          </w:p>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3.《营业性演出管理条例》</w:t>
            </w:r>
          </w:p>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val="en-US" w:eastAsia="zh-CN"/>
              </w:rPr>
              <w:t>4.《营业性演出管理条例实施细则》</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w:t>
            </w:r>
            <w:r>
              <w:rPr>
                <w:rFonts w:hint="eastAsia" w:ascii="仿宋_GB2312" w:hAnsi="Times New Roman" w:eastAsia="仿宋_GB2312"/>
                <w:color w:val="auto"/>
                <w:sz w:val="18"/>
                <w:szCs w:val="18"/>
                <w:lang w:val="en-US" w:eastAsia="zh-CN"/>
              </w:rPr>
              <w:t>7</w:t>
            </w:r>
            <w:r>
              <w:rPr>
                <w:rFonts w:hint="eastAsia" w:ascii="仿宋_GB2312" w:hAnsi="Times New Roman" w:eastAsia="仿宋_GB2312"/>
                <w:color w:val="auto"/>
                <w:sz w:val="18"/>
                <w:szCs w:val="18"/>
              </w:rPr>
              <w:t>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相关文化和旅游主管部门</w:t>
            </w:r>
          </w:p>
        </w:tc>
        <w:tc>
          <w:tcPr>
            <w:tcW w:w="1342" w:type="dxa"/>
            <w:vAlign w:val="center"/>
          </w:tcPr>
          <w:p>
            <w:pPr>
              <w:numPr>
                <w:ilvl w:val="0"/>
                <w:numId w:val="0"/>
              </w:numPr>
              <w:spacing w:line="240" w:lineRule="exact"/>
              <w:ind w:left="0" w:leftChars="0" w:firstLine="0" w:firstLineChars="0"/>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jc w:val="center"/>
              <w:rPr>
                <w:rFonts w:hint="eastAsia" w:ascii="仿宋_GB2312" w:hAnsi="Times New Roman" w:eastAsia="仿宋_GB2312"/>
                <w:color w:val="auto"/>
                <w:sz w:val="18"/>
                <w:szCs w:val="18"/>
              </w:rPr>
            </w:pPr>
          </w:p>
        </w:tc>
        <w:tc>
          <w:tcPr>
            <w:tcW w:w="513"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jc w:val="center"/>
              <w:rPr>
                <w:rFonts w:hint="eastAsia" w:ascii="仿宋_GB2312" w:hAnsi="Times New Roman" w:eastAsia="仿宋_GB2312"/>
                <w:color w:val="auto"/>
                <w:sz w:val="18"/>
                <w:szCs w:val="18"/>
              </w:rPr>
            </w:pPr>
          </w:p>
        </w:tc>
        <w:tc>
          <w:tcPr>
            <w:tcW w:w="671" w:type="dxa"/>
            <w:vAlign w:val="center"/>
          </w:tcPr>
          <w:p>
            <w:pPr>
              <w:spacing w:line="240" w:lineRule="exact"/>
              <w:jc w:val="center"/>
              <w:rPr>
                <w:rFonts w:hint="eastAsia" w:ascii="仿宋_GB2312" w:hAnsi="Times New Roman" w:eastAsia="仿宋_GB2312"/>
                <w:color w:val="auto"/>
                <w:sz w:val="18"/>
                <w:szCs w:val="18"/>
              </w:rPr>
            </w:pPr>
          </w:p>
        </w:tc>
        <w:tc>
          <w:tcPr>
            <w:tcW w:w="784"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其它行政权力</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艺术品经营单位备案</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746" w:type="dxa"/>
            <w:vAlign w:val="center"/>
          </w:tcPr>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1.《中华人民共和国行政许可法》</w:t>
            </w:r>
          </w:p>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2.《中华人民共和国政府信息公开条例》</w:t>
            </w:r>
          </w:p>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val="en-US" w:eastAsia="zh-CN"/>
              </w:rPr>
              <w:t>3.《艺术品经营管理办法》</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w:t>
            </w:r>
            <w:r>
              <w:rPr>
                <w:rFonts w:hint="eastAsia" w:ascii="仿宋_GB2312" w:hAnsi="Times New Roman" w:eastAsia="仿宋_GB2312"/>
                <w:color w:val="auto"/>
                <w:sz w:val="18"/>
                <w:szCs w:val="18"/>
                <w:lang w:val="en-US" w:eastAsia="zh-CN"/>
              </w:rPr>
              <w:t>7</w:t>
            </w:r>
            <w:r>
              <w:rPr>
                <w:rFonts w:hint="eastAsia" w:ascii="仿宋_GB2312" w:hAnsi="Times New Roman" w:eastAsia="仿宋_GB2312"/>
                <w:color w:val="auto"/>
                <w:sz w:val="18"/>
                <w:szCs w:val="18"/>
              </w:rPr>
              <w:t>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相关文化和旅游主管部门</w:t>
            </w:r>
          </w:p>
        </w:tc>
        <w:tc>
          <w:tcPr>
            <w:tcW w:w="1342" w:type="dxa"/>
            <w:vAlign w:val="center"/>
          </w:tcPr>
          <w:p>
            <w:pPr>
              <w:numPr>
                <w:ilvl w:val="0"/>
                <w:numId w:val="0"/>
              </w:numPr>
              <w:spacing w:line="240" w:lineRule="exact"/>
              <w:ind w:left="0" w:leftChars="0" w:firstLine="0" w:firstLineChars="0"/>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jc w:val="center"/>
              <w:rPr>
                <w:rFonts w:hint="eastAsia" w:ascii="仿宋_GB2312" w:hAnsi="Times New Roman" w:eastAsia="仿宋_GB2312"/>
                <w:color w:val="auto"/>
                <w:sz w:val="18"/>
                <w:szCs w:val="18"/>
              </w:rPr>
            </w:pPr>
          </w:p>
        </w:tc>
        <w:tc>
          <w:tcPr>
            <w:tcW w:w="513"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jc w:val="center"/>
              <w:rPr>
                <w:rFonts w:hint="eastAsia" w:ascii="仿宋_GB2312" w:hAnsi="Times New Roman" w:eastAsia="仿宋_GB2312"/>
                <w:color w:val="auto"/>
                <w:sz w:val="18"/>
                <w:szCs w:val="18"/>
              </w:rPr>
            </w:pPr>
          </w:p>
        </w:tc>
        <w:tc>
          <w:tcPr>
            <w:tcW w:w="671" w:type="dxa"/>
            <w:vAlign w:val="center"/>
          </w:tcPr>
          <w:p>
            <w:pPr>
              <w:spacing w:line="240" w:lineRule="exact"/>
              <w:jc w:val="center"/>
              <w:rPr>
                <w:rFonts w:hint="eastAsia" w:ascii="仿宋_GB2312" w:hAnsi="Times New Roman" w:eastAsia="仿宋_GB2312"/>
                <w:color w:val="auto"/>
                <w:sz w:val="18"/>
                <w:szCs w:val="18"/>
              </w:rPr>
            </w:pPr>
          </w:p>
        </w:tc>
        <w:tc>
          <w:tcPr>
            <w:tcW w:w="784"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04" w:type="dxa"/>
            <w:vAlign w:val="center"/>
          </w:tcPr>
          <w:p>
            <w:pPr>
              <w:spacing w:line="240" w:lineRule="exact"/>
              <w:jc w:val="center"/>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3</w:t>
            </w:r>
          </w:p>
        </w:tc>
        <w:tc>
          <w:tcPr>
            <w:tcW w:w="6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对互联网上网服务营业场所违法行为的行政处罚</w:t>
            </w:r>
          </w:p>
        </w:tc>
        <w:tc>
          <w:tcPr>
            <w:tcW w:w="191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pStyle w:val="3"/>
              <w:rPr>
                <w:rFonts w:hint="default" w:eastAsia="宋体"/>
                <w:color w:val="auto"/>
                <w:lang w:val="en-US" w:eastAsia="zh-CN"/>
              </w:rPr>
            </w:pPr>
            <w:r>
              <w:rPr>
                <w:rFonts w:hint="eastAsia" w:ascii="仿宋_GB2312" w:hAnsi="Times New Roman" w:eastAsia="仿宋_GB2312"/>
                <w:color w:val="auto"/>
                <w:sz w:val="18"/>
                <w:szCs w:val="18"/>
              </w:rPr>
              <w:t>南头镇综合行政执法局</w:t>
            </w:r>
          </w:p>
          <w:p>
            <w:pPr>
              <w:spacing w:line="240" w:lineRule="exact"/>
              <w:rPr>
                <w:rFonts w:ascii="仿宋_GB2312" w:hAnsi="Times New Roman" w:eastAsia="仿宋_GB2312"/>
                <w:color w:val="auto"/>
                <w:sz w:val="18"/>
                <w:szCs w:val="18"/>
              </w:rPr>
            </w:pPr>
          </w:p>
        </w:tc>
        <w:tc>
          <w:tcPr>
            <w:tcW w:w="134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672"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jc w:val="center"/>
              <w:rPr>
                <w:rFonts w:ascii="仿宋_GB2312" w:hAnsi="Times New Roman" w:eastAsia="仿宋_GB2312"/>
                <w:color w:val="auto"/>
                <w:sz w:val="18"/>
                <w:szCs w:val="18"/>
              </w:rPr>
            </w:pPr>
          </w:p>
        </w:tc>
        <w:tc>
          <w:tcPr>
            <w:tcW w:w="513"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jc w:val="center"/>
              <w:rPr>
                <w:rFonts w:ascii="仿宋_GB2312" w:hAnsi="Times New Roman" w:eastAsia="仿宋_GB2312"/>
                <w:color w:val="auto"/>
                <w:sz w:val="18"/>
                <w:szCs w:val="18"/>
              </w:rPr>
            </w:pPr>
          </w:p>
        </w:tc>
        <w:tc>
          <w:tcPr>
            <w:tcW w:w="671" w:type="dxa"/>
            <w:vAlign w:val="center"/>
          </w:tcPr>
          <w:p>
            <w:pPr>
              <w:spacing w:line="240" w:lineRule="exact"/>
              <w:jc w:val="center"/>
              <w:rPr>
                <w:rFonts w:ascii="仿宋_GB2312" w:hAnsi="Times New Roman" w:eastAsia="仿宋_GB2312"/>
                <w:color w:val="auto"/>
                <w:sz w:val="18"/>
                <w:szCs w:val="18"/>
              </w:rPr>
            </w:pPr>
          </w:p>
        </w:tc>
        <w:tc>
          <w:tcPr>
            <w:tcW w:w="784"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4</w:t>
            </w:r>
          </w:p>
        </w:tc>
        <w:tc>
          <w:tcPr>
            <w:tcW w:w="6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对娱乐场所违法行为的行政处罚</w:t>
            </w:r>
          </w:p>
        </w:tc>
        <w:tc>
          <w:tcPr>
            <w:tcW w:w="191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pStyle w:val="3"/>
              <w:rPr>
                <w:rFonts w:hint="default" w:eastAsia="宋体"/>
                <w:color w:val="auto"/>
                <w:lang w:val="en-US" w:eastAsia="zh-CN"/>
              </w:rPr>
            </w:pPr>
            <w:r>
              <w:rPr>
                <w:rFonts w:hint="eastAsia" w:ascii="仿宋_GB2312" w:hAnsi="Times New Roman" w:eastAsia="仿宋_GB2312"/>
                <w:color w:val="auto"/>
                <w:sz w:val="18"/>
                <w:szCs w:val="18"/>
              </w:rPr>
              <w:t>南头镇综合行政执法局</w:t>
            </w:r>
          </w:p>
          <w:p>
            <w:pPr>
              <w:spacing w:line="240" w:lineRule="exact"/>
              <w:rPr>
                <w:rFonts w:ascii="仿宋_GB2312" w:hAnsi="Times New Roman" w:eastAsia="仿宋_GB2312"/>
                <w:color w:val="auto"/>
                <w:sz w:val="18"/>
                <w:szCs w:val="18"/>
              </w:rPr>
            </w:pPr>
          </w:p>
        </w:tc>
        <w:tc>
          <w:tcPr>
            <w:tcW w:w="134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jc w:val="center"/>
              <w:rPr>
                <w:rFonts w:ascii="仿宋_GB2312" w:hAnsi="Times New Roman" w:eastAsia="仿宋_GB2312"/>
                <w:color w:val="auto"/>
                <w:sz w:val="18"/>
                <w:szCs w:val="18"/>
              </w:rPr>
            </w:pPr>
          </w:p>
        </w:tc>
        <w:tc>
          <w:tcPr>
            <w:tcW w:w="513"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jc w:val="center"/>
              <w:rPr>
                <w:rFonts w:ascii="仿宋_GB2312" w:hAnsi="Times New Roman" w:eastAsia="仿宋_GB2312"/>
                <w:color w:val="auto"/>
                <w:sz w:val="18"/>
                <w:szCs w:val="18"/>
              </w:rPr>
            </w:pPr>
          </w:p>
        </w:tc>
        <w:tc>
          <w:tcPr>
            <w:tcW w:w="671" w:type="dxa"/>
            <w:vAlign w:val="center"/>
          </w:tcPr>
          <w:p>
            <w:pPr>
              <w:spacing w:line="240" w:lineRule="exact"/>
              <w:jc w:val="center"/>
              <w:rPr>
                <w:rFonts w:ascii="仿宋_GB2312" w:hAnsi="Times New Roman" w:eastAsia="仿宋_GB2312"/>
                <w:color w:val="auto"/>
                <w:sz w:val="18"/>
                <w:szCs w:val="18"/>
              </w:rPr>
            </w:pPr>
          </w:p>
        </w:tc>
        <w:tc>
          <w:tcPr>
            <w:tcW w:w="784"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5</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对营业性演出违法行为的行政处罚</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pStyle w:val="3"/>
              <w:rPr>
                <w:rFonts w:hint="default" w:eastAsia="宋体"/>
                <w:color w:val="auto"/>
                <w:lang w:val="en-US" w:eastAsia="zh-CN"/>
              </w:rPr>
            </w:pPr>
            <w:r>
              <w:rPr>
                <w:rFonts w:hint="eastAsia" w:ascii="仿宋_GB2312" w:hAnsi="Times New Roman" w:eastAsia="仿宋_GB2312"/>
                <w:color w:val="auto"/>
                <w:sz w:val="18"/>
                <w:szCs w:val="18"/>
              </w:rPr>
              <w:t>南头镇综合行政执法局</w:t>
            </w:r>
          </w:p>
          <w:p>
            <w:pPr>
              <w:spacing w:line="240" w:lineRule="exact"/>
              <w:rPr>
                <w:rFonts w:hint="eastAsia" w:ascii="仿宋_GB2312" w:hAnsi="Times New Roman" w:eastAsia="仿宋_GB2312"/>
                <w:color w:val="auto"/>
                <w:sz w:val="18"/>
                <w:szCs w:val="18"/>
              </w:rPr>
            </w:pP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672"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jc w:val="center"/>
              <w:rPr>
                <w:rFonts w:hint="eastAsia" w:ascii="仿宋_GB2312" w:hAnsi="Times New Roman" w:eastAsia="仿宋_GB2312"/>
                <w:color w:val="auto"/>
                <w:sz w:val="18"/>
                <w:szCs w:val="18"/>
              </w:rPr>
            </w:pPr>
          </w:p>
        </w:tc>
        <w:tc>
          <w:tcPr>
            <w:tcW w:w="513"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jc w:val="center"/>
              <w:rPr>
                <w:rFonts w:hint="eastAsia" w:ascii="仿宋_GB2312" w:hAnsi="Times New Roman" w:eastAsia="仿宋_GB2312"/>
                <w:color w:val="auto"/>
                <w:sz w:val="18"/>
                <w:szCs w:val="18"/>
              </w:rPr>
            </w:pPr>
          </w:p>
        </w:tc>
        <w:tc>
          <w:tcPr>
            <w:tcW w:w="671" w:type="dxa"/>
            <w:vAlign w:val="center"/>
          </w:tcPr>
          <w:p>
            <w:pPr>
              <w:spacing w:line="240" w:lineRule="exact"/>
              <w:jc w:val="center"/>
              <w:rPr>
                <w:rFonts w:hint="eastAsia" w:ascii="仿宋_GB2312" w:hAnsi="Times New Roman" w:eastAsia="仿宋_GB2312"/>
                <w:color w:val="auto"/>
                <w:sz w:val="18"/>
                <w:szCs w:val="18"/>
              </w:rPr>
            </w:pPr>
          </w:p>
        </w:tc>
        <w:tc>
          <w:tcPr>
            <w:tcW w:w="784"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6</w:t>
            </w:r>
          </w:p>
        </w:tc>
        <w:tc>
          <w:tcPr>
            <w:tcW w:w="6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强制</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对擅自从事互联网上网服务经营活动场所的查封，专用工具、设备的扣押</w:t>
            </w:r>
          </w:p>
        </w:tc>
        <w:tc>
          <w:tcPr>
            <w:tcW w:w="191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3.处理依据；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4.处理结果。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r>
              <w:rPr>
                <w:rFonts w:hint="eastAsia" w:ascii="仿宋_GB2312" w:hAnsi="Times New Roman" w:eastAsia="仿宋_GB2312"/>
                <w:color w:val="auto"/>
                <w:sz w:val="18"/>
                <w:szCs w:val="18"/>
                <w:lang w:eastAsia="zh-CN"/>
              </w:rPr>
              <w:t>中华人民共和国政府信息公开条例</w:t>
            </w:r>
            <w:r>
              <w:rPr>
                <w:rFonts w:hint="eastAsia" w:ascii="仿宋_GB2312" w:hAnsi="Times New Roman" w:eastAsia="仿宋_GB2312"/>
                <w:color w:val="auto"/>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329" w:type="dxa"/>
            <w:vAlign w:val="center"/>
          </w:tcPr>
          <w:p>
            <w:pPr>
              <w:pStyle w:val="3"/>
              <w:rPr>
                <w:rFonts w:hint="default" w:eastAsia="宋体"/>
                <w:color w:val="auto"/>
                <w:lang w:val="en-US" w:eastAsia="zh-CN"/>
              </w:rPr>
            </w:pPr>
            <w:r>
              <w:rPr>
                <w:rFonts w:hint="eastAsia" w:ascii="仿宋_GB2312" w:hAnsi="Times New Roman" w:eastAsia="仿宋_GB2312"/>
                <w:color w:val="auto"/>
                <w:sz w:val="18"/>
                <w:szCs w:val="18"/>
              </w:rPr>
              <w:t>南头镇综合行政执法局</w:t>
            </w:r>
          </w:p>
          <w:p>
            <w:pPr>
              <w:spacing w:line="240" w:lineRule="exact"/>
              <w:rPr>
                <w:rFonts w:hint="eastAsia" w:ascii="仿宋_GB2312" w:hAnsi="Times New Roman" w:eastAsia="仿宋_GB2312"/>
                <w:color w:val="auto"/>
                <w:sz w:val="18"/>
                <w:szCs w:val="18"/>
                <w:lang w:eastAsia="zh-CN"/>
              </w:rPr>
            </w:pPr>
          </w:p>
        </w:tc>
        <w:tc>
          <w:tcPr>
            <w:tcW w:w="134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jc w:val="center"/>
              <w:rPr>
                <w:rFonts w:ascii="仿宋_GB2312" w:hAnsi="Times New Roman" w:eastAsia="仿宋_GB2312"/>
                <w:color w:val="auto"/>
                <w:sz w:val="18"/>
                <w:szCs w:val="18"/>
              </w:rPr>
            </w:pPr>
          </w:p>
        </w:tc>
        <w:tc>
          <w:tcPr>
            <w:tcW w:w="513"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jc w:val="center"/>
              <w:rPr>
                <w:rFonts w:ascii="仿宋_GB2312" w:hAnsi="Times New Roman" w:eastAsia="仿宋_GB2312"/>
                <w:color w:val="auto"/>
                <w:sz w:val="18"/>
                <w:szCs w:val="18"/>
              </w:rPr>
            </w:pPr>
          </w:p>
        </w:tc>
        <w:tc>
          <w:tcPr>
            <w:tcW w:w="671" w:type="dxa"/>
            <w:vAlign w:val="center"/>
          </w:tcPr>
          <w:p>
            <w:pPr>
              <w:spacing w:line="240" w:lineRule="exact"/>
              <w:jc w:val="center"/>
              <w:rPr>
                <w:rFonts w:ascii="仿宋_GB2312" w:hAnsi="Times New Roman" w:eastAsia="仿宋_GB2312"/>
                <w:color w:val="auto"/>
                <w:sz w:val="18"/>
                <w:szCs w:val="18"/>
              </w:rPr>
            </w:pPr>
          </w:p>
        </w:tc>
        <w:tc>
          <w:tcPr>
            <w:tcW w:w="784"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04" w:type="dxa"/>
            <w:vAlign w:val="center"/>
          </w:tcPr>
          <w:p>
            <w:pPr>
              <w:spacing w:line="240" w:lineRule="exact"/>
              <w:jc w:val="center"/>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7</w:t>
            </w:r>
          </w:p>
        </w:tc>
        <w:tc>
          <w:tcPr>
            <w:tcW w:w="6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公共文化机构免费开放信息</w:t>
            </w:r>
          </w:p>
        </w:tc>
        <w:tc>
          <w:tcPr>
            <w:tcW w:w="191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1.机构名称；</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2.开放时间；</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3.机构地址；</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4.联系电话；</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5.临时停止开放信息。</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《中华人民共和国公共文化服务保障法》、《</w:t>
            </w:r>
            <w:r>
              <w:rPr>
                <w:rFonts w:hint="eastAsia" w:ascii="仿宋_GB2312" w:hAnsi="Times New Roman" w:eastAsia="仿宋_GB2312"/>
                <w:color w:val="auto"/>
                <w:sz w:val="18"/>
                <w:szCs w:val="18"/>
                <w:highlight w:val="none"/>
                <w:lang w:eastAsia="zh-CN"/>
              </w:rPr>
              <w:t>中华人民共和国政府信息公开条例</w:t>
            </w:r>
            <w:r>
              <w:rPr>
                <w:rFonts w:hint="eastAsia" w:ascii="仿宋_GB2312" w:hAnsi="Times New Roman" w:eastAsia="仿宋_GB2312"/>
                <w:color w:val="auto"/>
                <w:sz w:val="18"/>
                <w:szCs w:val="18"/>
                <w:highlight w:val="none"/>
              </w:rPr>
              <w:t>》、《文化部 财政部关于推进全国美术馆、公共图书馆、文化馆（站）免费开放工作的意见》、《文化部 财政部关于做好城市社区(街道)文化中心免费开放工作的通知》</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市文化广电旅游局，相关公共文化服务机构</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highlight w:val="none"/>
              </w:rPr>
              <w:t>■政府网站</w:t>
            </w:r>
          </w:p>
        </w:tc>
        <w:tc>
          <w:tcPr>
            <w:tcW w:w="672"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60" w:type="dxa"/>
            <w:vAlign w:val="center"/>
          </w:tcPr>
          <w:p>
            <w:pPr>
              <w:spacing w:line="240" w:lineRule="exact"/>
              <w:jc w:val="center"/>
              <w:rPr>
                <w:rFonts w:ascii="仿宋_GB2312" w:hAnsi="Times New Roman" w:eastAsia="仿宋_GB2312"/>
                <w:color w:val="auto"/>
                <w:sz w:val="18"/>
                <w:szCs w:val="18"/>
              </w:rPr>
            </w:pPr>
          </w:p>
        </w:tc>
        <w:tc>
          <w:tcPr>
            <w:tcW w:w="513"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72" w:type="dxa"/>
            <w:vAlign w:val="center"/>
          </w:tcPr>
          <w:p>
            <w:pPr>
              <w:spacing w:line="240" w:lineRule="exact"/>
              <w:jc w:val="center"/>
              <w:rPr>
                <w:rFonts w:ascii="仿宋_GB2312" w:hAnsi="Times New Roman" w:eastAsia="仿宋_GB2312"/>
                <w:color w:val="auto"/>
                <w:sz w:val="18"/>
                <w:szCs w:val="18"/>
              </w:rPr>
            </w:pPr>
          </w:p>
        </w:tc>
        <w:tc>
          <w:tcPr>
            <w:tcW w:w="671"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784"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8</w:t>
            </w:r>
          </w:p>
        </w:tc>
        <w:tc>
          <w:tcPr>
            <w:tcW w:w="6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特殊群体公共文化服务信息</w:t>
            </w:r>
          </w:p>
        </w:tc>
        <w:tc>
          <w:tcPr>
            <w:tcW w:w="1916" w:type="dxa"/>
            <w:vAlign w:val="center"/>
          </w:tcPr>
          <w:p>
            <w:pPr>
              <w:numPr>
                <w:ilvl w:val="0"/>
                <w:numId w:val="1"/>
              </w:numPr>
              <w:spacing w:line="240" w:lineRule="exact"/>
              <w:rPr>
                <w:rFonts w:hint="eastAsia"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机构名称；</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2.开放时间；</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3.机构地址；</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4.联系电话；</w:t>
            </w:r>
          </w:p>
          <w:p>
            <w:pPr>
              <w:numPr>
                <w:ilvl w:val="0"/>
                <w:numId w:val="0"/>
              </w:numPr>
              <w:spacing w:line="240" w:lineRule="exact"/>
              <w:ind w:left="0" w:leftChars="0" w:firstLine="0" w:firstLineChars="0"/>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lang w:val="en-US" w:eastAsia="zh-CN"/>
              </w:rPr>
              <w:t>5.服务内容；</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5.临时停止开放信息。</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《中华人民共和国残疾人保障法》、《</w:t>
            </w:r>
            <w:r>
              <w:rPr>
                <w:rFonts w:hint="eastAsia" w:ascii="仿宋_GB2312" w:hAnsi="Times New Roman" w:eastAsia="仿宋_GB2312"/>
                <w:color w:val="auto"/>
                <w:sz w:val="18"/>
                <w:szCs w:val="18"/>
                <w:highlight w:val="none"/>
                <w:lang w:eastAsia="zh-CN"/>
              </w:rPr>
              <w:t>中华人民共和国政府信息公开条例</w:t>
            </w:r>
            <w:r>
              <w:rPr>
                <w:rFonts w:hint="eastAsia" w:ascii="仿宋_GB2312" w:hAnsi="Times New Roman" w:eastAsia="仿宋_GB2312"/>
                <w:color w:val="auto"/>
                <w:sz w:val="18"/>
                <w:szCs w:val="18"/>
                <w:highlight w:val="none"/>
              </w:rPr>
              <w:t>》、《中共中央办公厅 国务院办公厅印发关于加快构建现代公共文化服务体系的意见》</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市文化广电旅游局，相关公共文化服务机构</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highlight w:val="none"/>
              </w:rPr>
              <w:t>■政府网站</w:t>
            </w:r>
          </w:p>
        </w:tc>
        <w:tc>
          <w:tcPr>
            <w:tcW w:w="672"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60" w:type="dxa"/>
            <w:vAlign w:val="center"/>
          </w:tcPr>
          <w:p>
            <w:pPr>
              <w:spacing w:line="240" w:lineRule="exact"/>
              <w:jc w:val="center"/>
              <w:rPr>
                <w:rFonts w:ascii="仿宋_GB2312" w:hAnsi="Times New Roman" w:eastAsia="仿宋_GB2312"/>
                <w:color w:val="auto"/>
                <w:sz w:val="18"/>
                <w:szCs w:val="18"/>
              </w:rPr>
            </w:pPr>
          </w:p>
        </w:tc>
        <w:tc>
          <w:tcPr>
            <w:tcW w:w="513"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72" w:type="dxa"/>
            <w:vAlign w:val="center"/>
          </w:tcPr>
          <w:p>
            <w:pPr>
              <w:spacing w:line="240" w:lineRule="exact"/>
              <w:jc w:val="center"/>
              <w:rPr>
                <w:rFonts w:ascii="仿宋_GB2312" w:hAnsi="Times New Roman" w:eastAsia="仿宋_GB2312"/>
                <w:color w:val="auto"/>
                <w:sz w:val="18"/>
                <w:szCs w:val="18"/>
              </w:rPr>
            </w:pPr>
          </w:p>
        </w:tc>
        <w:tc>
          <w:tcPr>
            <w:tcW w:w="671"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784"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9</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组织开展群众文化活动</w:t>
            </w:r>
          </w:p>
        </w:tc>
        <w:tc>
          <w:tcPr>
            <w:tcW w:w="1916" w:type="dxa"/>
            <w:vAlign w:val="center"/>
          </w:tcPr>
          <w:p>
            <w:pPr>
              <w:spacing w:line="240" w:lineRule="exact"/>
              <w:rPr>
                <w:rFonts w:hint="eastAsia" w:ascii="仿宋_GB2312" w:hAnsi="Times New Roman" w:eastAsia="仿宋_GB2312"/>
                <w:color w:val="auto"/>
                <w:sz w:val="18"/>
                <w:szCs w:val="18"/>
                <w:highlight w:val="none"/>
                <w:lang w:eastAsia="zh-CN"/>
              </w:rPr>
            </w:pPr>
            <w:r>
              <w:rPr>
                <w:rFonts w:hint="eastAsia" w:ascii="仿宋_GB2312" w:hAnsi="Times New Roman" w:eastAsia="仿宋_GB2312"/>
                <w:color w:val="auto"/>
                <w:sz w:val="18"/>
                <w:szCs w:val="18"/>
                <w:highlight w:val="none"/>
              </w:rPr>
              <w:t>1.</w:t>
            </w:r>
            <w:r>
              <w:rPr>
                <w:rFonts w:hint="eastAsia" w:ascii="仿宋_GB2312" w:hAnsi="Times New Roman" w:eastAsia="仿宋_GB2312"/>
                <w:color w:val="auto"/>
                <w:sz w:val="18"/>
                <w:szCs w:val="18"/>
                <w:highlight w:val="none"/>
                <w:lang w:eastAsia="zh-CN"/>
              </w:rPr>
              <w:t>活动名称；</w:t>
            </w:r>
          </w:p>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lang w:val="en-US" w:eastAsia="zh-CN"/>
              </w:rPr>
              <w:t>2.</w:t>
            </w:r>
            <w:r>
              <w:rPr>
                <w:rFonts w:hint="eastAsia" w:ascii="仿宋_GB2312" w:hAnsi="Times New Roman" w:eastAsia="仿宋_GB2312"/>
                <w:color w:val="auto"/>
                <w:sz w:val="18"/>
                <w:szCs w:val="18"/>
                <w:highlight w:val="none"/>
              </w:rPr>
              <w:t>活动时间；</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lang w:val="en-US" w:eastAsia="zh-CN"/>
              </w:rPr>
              <w:t>3</w:t>
            </w:r>
            <w:r>
              <w:rPr>
                <w:rFonts w:hint="eastAsia" w:ascii="仿宋_GB2312" w:hAnsi="Times New Roman" w:eastAsia="仿宋_GB2312"/>
                <w:color w:val="auto"/>
                <w:sz w:val="18"/>
                <w:szCs w:val="18"/>
                <w:highlight w:val="none"/>
              </w:rPr>
              <w:t>.活动单位；</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lang w:val="en-US" w:eastAsia="zh-CN"/>
              </w:rPr>
              <w:t>4</w:t>
            </w:r>
            <w:r>
              <w:rPr>
                <w:rFonts w:hint="eastAsia" w:ascii="仿宋_GB2312" w:hAnsi="Times New Roman" w:eastAsia="仿宋_GB2312"/>
                <w:color w:val="auto"/>
                <w:sz w:val="18"/>
                <w:szCs w:val="18"/>
                <w:highlight w:val="none"/>
              </w:rPr>
              <w:t>.活动地址；</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lang w:val="en-US" w:eastAsia="zh-CN"/>
              </w:rPr>
              <w:t>5</w:t>
            </w:r>
            <w:r>
              <w:rPr>
                <w:rFonts w:hint="eastAsia" w:ascii="仿宋_GB2312" w:hAnsi="Times New Roman" w:eastAsia="仿宋_GB2312"/>
                <w:color w:val="auto"/>
                <w:sz w:val="18"/>
                <w:szCs w:val="18"/>
                <w:highlight w:val="none"/>
              </w:rPr>
              <w:t>.联系电话；</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lang w:val="en-US" w:eastAsia="zh-CN"/>
              </w:rPr>
              <w:t>6</w:t>
            </w:r>
            <w:r>
              <w:rPr>
                <w:rFonts w:hint="eastAsia" w:ascii="仿宋_GB2312" w:hAnsi="Times New Roman" w:eastAsia="仿宋_GB2312"/>
                <w:color w:val="auto"/>
                <w:sz w:val="18"/>
                <w:szCs w:val="18"/>
                <w:highlight w:val="none"/>
              </w:rPr>
              <w:t>.临时停止活动信息。</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r>
              <w:rPr>
                <w:rFonts w:hint="eastAsia" w:ascii="仿宋_GB2312" w:hAnsi="Times New Roman" w:eastAsia="仿宋_GB2312"/>
                <w:color w:val="auto"/>
                <w:sz w:val="18"/>
                <w:szCs w:val="18"/>
                <w:highlight w:val="none"/>
                <w:lang w:eastAsia="zh-CN"/>
              </w:rPr>
              <w:t>中华人民共和国政府信息公开条例</w:t>
            </w:r>
            <w:r>
              <w:rPr>
                <w:rFonts w:hint="eastAsia" w:ascii="仿宋_GB2312" w:hAnsi="Times New Roman" w:eastAsia="仿宋_GB2312"/>
                <w:color w:val="auto"/>
                <w:sz w:val="18"/>
                <w:szCs w:val="18"/>
                <w:highlight w:val="none"/>
              </w:rPr>
              <w:t>》、《文化馆服务标准》</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市文化广电旅游局，相关公共文化服务机构</w:t>
            </w:r>
          </w:p>
        </w:tc>
        <w:tc>
          <w:tcPr>
            <w:tcW w:w="134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■政府网站</w:t>
            </w:r>
          </w:p>
        </w:tc>
        <w:tc>
          <w:tcPr>
            <w:tcW w:w="672"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60" w:type="dxa"/>
            <w:vAlign w:val="center"/>
          </w:tcPr>
          <w:p>
            <w:pPr>
              <w:spacing w:line="240" w:lineRule="exact"/>
              <w:jc w:val="center"/>
              <w:rPr>
                <w:rFonts w:ascii="仿宋_GB2312" w:hAnsi="Times New Roman" w:eastAsia="仿宋_GB2312"/>
                <w:color w:val="auto"/>
                <w:sz w:val="18"/>
                <w:szCs w:val="18"/>
              </w:rPr>
            </w:pPr>
          </w:p>
        </w:tc>
        <w:tc>
          <w:tcPr>
            <w:tcW w:w="513"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72" w:type="dxa"/>
            <w:vAlign w:val="center"/>
          </w:tcPr>
          <w:p>
            <w:pPr>
              <w:spacing w:line="240" w:lineRule="exact"/>
              <w:jc w:val="center"/>
              <w:rPr>
                <w:rFonts w:ascii="仿宋_GB2312" w:hAnsi="Times New Roman" w:eastAsia="仿宋_GB2312"/>
                <w:color w:val="auto"/>
                <w:sz w:val="18"/>
                <w:szCs w:val="18"/>
              </w:rPr>
            </w:pPr>
          </w:p>
        </w:tc>
        <w:tc>
          <w:tcPr>
            <w:tcW w:w="671"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784"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04" w:type="dxa"/>
            <w:vAlign w:val="center"/>
          </w:tcPr>
          <w:p>
            <w:pPr>
              <w:spacing w:line="240" w:lineRule="exact"/>
              <w:jc w:val="center"/>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10</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下基层辅导、演出、展览和指导基层群众文化活动</w:t>
            </w:r>
          </w:p>
        </w:tc>
        <w:tc>
          <w:tcPr>
            <w:tcW w:w="1916" w:type="dxa"/>
            <w:vAlign w:val="center"/>
          </w:tcPr>
          <w:p>
            <w:pPr>
              <w:numPr>
                <w:ilvl w:val="0"/>
                <w:numId w:val="2"/>
              </w:numPr>
              <w:spacing w:line="240" w:lineRule="exact"/>
              <w:rPr>
                <w:rFonts w:hint="eastAsia"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活动</w:t>
            </w:r>
            <w:r>
              <w:rPr>
                <w:rFonts w:hint="eastAsia" w:ascii="仿宋_GB2312" w:hAnsi="Times New Roman" w:eastAsia="仿宋_GB2312"/>
                <w:color w:val="auto"/>
                <w:sz w:val="18"/>
                <w:szCs w:val="18"/>
                <w:highlight w:val="none"/>
                <w:lang w:eastAsia="zh-CN"/>
              </w:rPr>
              <w:t>名称；</w:t>
            </w:r>
          </w:p>
          <w:p>
            <w:pPr>
              <w:numPr>
                <w:ilvl w:val="0"/>
                <w:numId w:val="2"/>
              </w:num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lang w:eastAsia="zh-CN"/>
              </w:rPr>
              <w:t>活动时间</w:t>
            </w:r>
            <w:r>
              <w:rPr>
                <w:rFonts w:hint="eastAsia" w:ascii="仿宋_GB2312" w:hAnsi="Times New Roman" w:eastAsia="仿宋_GB2312"/>
                <w:color w:val="auto"/>
                <w:sz w:val="18"/>
                <w:szCs w:val="18"/>
                <w:highlight w:val="none"/>
              </w:rPr>
              <w:t>；</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lang w:val="en-US" w:eastAsia="zh-CN"/>
              </w:rPr>
              <w:t>3</w:t>
            </w:r>
            <w:r>
              <w:rPr>
                <w:rFonts w:hint="eastAsia" w:ascii="仿宋_GB2312" w:hAnsi="Times New Roman" w:eastAsia="仿宋_GB2312"/>
                <w:color w:val="auto"/>
                <w:sz w:val="18"/>
                <w:szCs w:val="18"/>
                <w:highlight w:val="none"/>
              </w:rPr>
              <w:t>.活动单位；</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lang w:val="en-US" w:eastAsia="zh-CN"/>
              </w:rPr>
              <w:t>4</w:t>
            </w:r>
            <w:r>
              <w:rPr>
                <w:rFonts w:hint="eastAsia" w:ascii="仿宋_GB2312" w:hAnsi="Times New Roman" w:eastAsia="仿宋_GB2312"/>
                <w:color w:val="auto"/>
                <w:sz w:val="18"/>
                <w:szCs w:val="18"/>
                <w:highlight w:val="none"/>
              </w:rPr>
              <w:t>.活动地址；</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lang w:val="en-US" w:eastAsia="zh-CN"/>
              </w:rPr>
              <w:t>5</w:t>
            </w:r>
            <w:r>
              <w:rPr>
                <w:rFonts w:hint="eastAsia" w:ascii="仿宋_GB2312" w:hAnsi="Times New Roman" w:eastAsia="仿宋_GB2312"/>
                <w:color w:val="auto"/>
                <w:sz w:val="18"/>
                <w:szCs w:val="18"/>
                <w:highlight w:val="none"/>
              </w:rPr>
              <w:t>.联系电话；</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lang w:val="en-US" w:eastAsia="zh-CN"/>
              </w:rPr>
              <w:t>6</w:t>
            </w:r>
            <w:r>
              <w:rPr>
                <w:rFonts w:hint="eastAsia" w:ascii="仿宋_GB2312" w:hAnsi="Times New Roman" w:eastAsia="仿宋_GB2312"/>
                <w:color w:val="auto"/>
                <w:sz w:val="18"/>
                <w:szCs w:val="18"/>
                <w:highlight w:val="none"/>
              </w:rPr>
              <w:t>.临时停止活动信息。</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r>
              <w:rPr>
                <w:rFonts w:hint="eastAsia" w:ascii="仿宋_GB2312" w:hAnsi="Times New Roman" w:eastAsia="仿宋_GB2312"/>
                <w:color w:val="auto"/>
                <w:sz w:val="18"/>
                <w:szCs w:val="18"/>
                <w:highlight w:val="none"/>
                <w:lang w:eastAsia="zh-CN"/>
              </w:rPr>
              <w:t>中华人民共和国政府信息公开条例</w:t>
            </w:r>
            <w:r>
              <w:rPr>
                <w:rFonts w:hint="eastAsia" w:ascii="仿宋_GB2312" w:hAnsi="Times New Roman" w:eastAsia="仿宋_GB2312"/>
                <w:color w:val="auto"/>
                <w:sz w:val="18"/>
                <w:szCs w:val="18"/>
                <w:highlight w:val="none"/>
              </w:rPr>
              <w:t>》、《文化馆服务标准》</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市文化广电旅游局，相关公共文化服务机构</w:t>
            </w:r>
          </w:p>
        </w:tc>
        <w:tc>
          <w:tcPr>
            <w:tcW w:w="134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■政府网站</w:t>
            </w:r>
          </w:p>
        </w:tc>
        <w:tc>
          <w:tcPr>
            <w:tcW w:w="672"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60" w:type="dxa"/>
            <w:vAlign w:val="center"/>
          </w:tcPr>
          <w:p>
            <w:pPr>
              <w:spacing w:line="240" w:lineRule="exact"/>
              <w:jc w:val="center"/>
              <w:rPr>
                <w:rFonts w:ascii="仿宋_GB2312" w:hAnsi="Times New Roman" w:eastAsia="仿宋_GB2312"/>
                <w:color w:val="auto"/>
                <w:sz w:val="18"/>
                <w:szCs w:val="18"/>
              </w:rPr>
            </w:pPr>
          </w:p>
        </w:tc>
        <w:tc>
          <w:tcPr>
            <w:tcW w:w="513"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72" w:type="dxa"/>
            <w:vAlign w:val="center"/>
          </w:tcPr>
          <w:p>
            <w:pPr>
              <w:spacing w:line="240" w:lineRule="exact"/>
              <w:jc w:val="center"/>
              <w:rPr>
                <w:rFonts w:ascii="仿宋_GB2312" w:hAnsi="Times New Roman" w:eastAsia="仿宋_GB2312"/>
                <w:color w:val="auto"/>
                <w:sz w:val="18"/>
                <w:szCs w:val="18"/>
              </w:rPr>
            </w:pPr>
          </w:p>
        </w:tc>
        <w:tc>
          <w:tcPr>
            <w:tcW w:w="671"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784"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11</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举办各类展览、讲座信息</w:t>
            </w:r>
          </w:p>
        </w:tc>
        <w:tc>
          <w:tcPr>
            <w:tcW w:w="1916" w:type="dxa"/>
            <w:vAlign w:val="center"/>
          </w:tcPr>
          <w:p>
            <w:pPr>
              <w:numPr>
                <w:ilvl w:val="0"/>
                <w:numId w:val="0"/>
              </w:numPr>
              <w:spacing w:line="240" w:lineRule="exact"/>
              <w:rPr>
                <w:rFonts w:hint="eastAsia"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lang w:val="en-US" w:eastAsia="zh-CN"/>
              </w:rPr>
              <w:t>1.</w:t>
            </w:r>
            <w:r>
              <w:rPr>
                <w:rFonts w:hint="eastAsia" w:ascii="仿宋_GB2312" w:hAnsi="Times New Roman" w:eastAsia="仿宋_GB2312"/>
                <w:color w:val="auto"/>
                <w:sz w:val="18"/>
                <w:szCs w:val="18"/>
                <w:highlight w:val="none"/>
              </w:rPr>
              <w:t>活动</w:t>
            </w:r>
            <w:r>
              <w:rPr>
                <w:rFonts w:hint="eastAsia" w:ascii="仿宋_GB2312" w:hAnsi="Times New Roman" w:eastAsia="仿宋_GB2312"/>
                <w:color w:val="auto"/>
                <w:sz w:val="18"/>
                <w:szCs w:val="18"/>
                <w:highlight w:val="none"/>
                <w:lang w:eastAsia="zh-CN"/>
              </w:rPr>
              <w:t>名称；</w:t>
            </w:r>
          </w:p>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lang w:eastAsia="zh-CN"/>
              </w:rPr>
              <w:t>活动时间</w:t>
            </w:r>
            <w:r>
              <w:rPr>
                <w:rFonts w:hint="eastAsia" w:ascii="仿宋_GB2312" w:hAnsi="Times New Roman" w:eastAsia="仿宋_GB2312"/>
                <w:color w:val="auto"/>
                <w:sz w:val="18"/>
                <w:szCs w:val="18"/>
                <w:highlight w:val="none"/>
              </w:rPr>
              <w:t>；</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2.活动单位；</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3.活动地址；</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4.联系电话；</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5.临时停止活动信息。</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r>
              <w:rPr>
                <w:rFonts w:hint="eastAsia" w:ascii="仿宋_GB2312" w:hAnsi="Times New Roman" w:eastAsia="仿宋_GB2312"/>
                <w:color w:val="auto"/>
                <w:sz w:val="18"/>
                <w:szCs w:val="18"/>
                <w:highlight w:val="none"/>
                <w:lang w:eastAsia="zh-CN"/>
              </w:rPr>
              <w:t>中华人民共和国政府信息公开条例</w:t>
            </w:r>
            <w:r>
              <w:rPr>
                <w:rFonts w:hint="eastAsia" w:ascii="仿宋_GB2312" w:hAnsi="Times New Roman" w:eastAsia="仿宋_GB2312"/>
                <w:color w:val="auto"/>
                <w:sz w:val="18"/>
                <w:szCs w:val="18"/>
                <w:highlight w:val="none"/>
              </w:rPr>
              <w:t>》、《乡镇综合文化站管理办法》</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市文化广电旅游局，相关公共文化服务机构</w:t>
            </w:r>
          </w:p>
        </w:tc>
        <w:tc>
          <w:tcPr>
            <w:tcW w:w="134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■政府网站</w:t>
            </w:r>
          </w:p>
        </w:tc>
        <w:tc>
          <w:tcPr>
            <w:tcW w:w="672"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60" w:type="dxa"/>
            <w:vAlign w:val="center"/>
          </w:tcPr>
          <w:p>
            <w:pPr>
              <w:spacing w:line="240" w:lineRule="exact"/>
              <w:jc w:val="center"/>
              <w:rPr>
                <w:rFonts w:ascii="仿宋_GB2312" w:hAnsi="Times New Roman" w:eastAsia="仿宋_GB2312"/>
                <w:color w:val="auto"/>
                <w:sz w:val="18"/>
                <w:szCs w:val="18"/>
              </w:rPr>
            </w:pPr>
          </w:p>
        </w:tc>
        <w:tc>
          <w:tcPr>
            <w:tcW w:w="513"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72" w:type="dxa"/>
            <w:vAlign w:val="center"/>
          </w:tcPr>
          <w:p>
            <w:pPr>
              <w:spacing w:line="240" w:lineRule="exact"/>
              <w:jc w:val="center"/>
              <w:rPr>
                <w:rFonts w:ascii="仿宋_GB2312" w:hAnsi="Times New Roman" w:eastAsia="仿宋_GB2312"/>
                <w:color w:val="auto"/>
                <w:sz w:val="18"/>
                <w:szCs w:val="18"/>
              </w:rPr>
            </w:pPr>
          </w:p>
        </w:tc>
        <w:tc>
          <w:tcPr>
            <w:tcW w:w="671"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784"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04" w:type="dxa"/>
            <w:vAlign w:val="center"/>
          </w:tcPr>
          <w:p>
            <w:pPr>
              <w:spacing w:line="240" w:lineRule="exact"/>
              <w:jc w:val="center"/>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12</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辅导和培训基层文化骨干</w:t>
            </w:r>
          </w:p>
        </w:tc>
        <w:tc>
          <w:tcPr>
            <w:tcW w:w="191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1.培训时间；</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2.培训单位；</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3.培训地址；</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4.联系电话；</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5.临时停止活动信息。</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r>
              <w:rPr>
                <w:rFonts w:hint="eastAsia" w:ascii="仿宋_GB2312" w:hAnsi="Times New Roman" w:eastAsia="仿宋_GB2312"/>
                <w:color w:val="auto"/>
                <w:sz w:val="18"/>
                <w:szCs w:val="18"/>
                <w:lang w:eastAsia="zh-CN"/>
              </w:rPr>
              <w:t>中华人民共和国政府信息公开条例</w:t>
            </w:r>
            <w:r>
              <w:rPr>
                <w:rFonts w:hint="eastAsia" w:ascii="仿宋_GB2312" w:hAnsi="Times New Roman" w:eastAsia="仿宋_GB2312"/>
                <w:color w:val="auto"/>
                <w:sz w:val="18"/>
                <w:szCs w:val="18"/>
              </w:rPr>
              <w:t>》、《乡镇综合文化站管理办法》</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市文化广电旅游局，相关公共文化服务机构</w:t>
            </w:r>
          </w:p>
        </w:tc>
        <w:tc>
          <w:tcPr>
            <w:tcW w:w="134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672"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60" w:type="dxa"/>
            <w:vAlign w:val="center"/>
          </w:tcPr>
          <w:p>
            <w:pPr>
              <w:spacing w:line="240" w:lineRule="exact"/>
              <w:jc w:val="center"/>
              <w:rPr>
                <w:rFonts w:ascii="仿宋_GB2312" w:hAnsi="Times New Roman" w:eastAsia="仿宋_GB2312"/>
                <w:color w:val="auto"/>
                <w:sz w:val="18"/>
                <w:szCs w:val="18"/>
              </w:rPr>
            </w:pPr>
          </w:p>
        </w:tc>
        <w:tc>
          <w:tcPr>
            <w:tcW w:w="513"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72" w:type="dxa"/>
            <w:vAlign w:val="center"/>
          </w:tcPr>
          <w:p>
            <w:pPr>
              <w:spacing w:line="240" w:lineRule="exact"/>
              <w:jc w:val="center"/>
              <w:rPr>
                <w:rFonts w:ascii="仿宋_GB2312" w:hAnsi="Times New Roman" w:eastAsia="仿宋_GB2312"/>
                <w:color w:val="auto"/>
                <w:sz w:val="18"/>
                <w:szCs w:val="18"/>
              </w:rPr>
            </w:pPr>
          </w:p>
        </w:tc>
        <w:tc>
          <w:tcPr>
            <w:tcW w:w="671"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784"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13</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非物质文化遗产展示传播活动</w:t>
            </w:r>
          </w:p>
        </w:tc>
        <w:tc>
          <w:tcPr>
            <w:tcW w:w="191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1.活动时间；</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2.组织单位；</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3.活动地址；</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4.联系电话；</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5.临时停止活动信息。</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《中华人民共和国</w:t>
            </w:r>
            <w:bookmarkStart w:id="1" w:name="_GoBack"/>
            <w:r>
              <w:rPr>
                <w:rFonts w:hint="eastAsia" w:ascii="仿宋_GB2312" w:hAnsi="Times New Roman" w:eastAsia="仿宋_GB2312"/>
                <w:color w:val="auto"/>
                <w:sz w:val="18"/>
                <w:szCs w:val="18"/>
              </w:rPr>
              <w:t>非物质</w:t>
            </w:r>
            <w:bookmarkEnd w:id="1"/>
            <w:r>
              <w:rPr>
                <w:rFonts w:hint="eastAsia" w:ascii="仿宋_GB2312" w:hAnsi="Times New Roman" w:eastAsia="仿宋_GB2312"/>
                <w:color w:val="auto"/>
                <w:sz w:val="18"/>
                <w:szCs w:val="18"/>
              </w:rPr>
              <w:t>文化遗产法》、《</w:t>
            </w:r>
            <w:r>
              <w:rPr>
                <w:rFonts w:hint="eastAsia" w:ascii="仿宋_GB2312" w:hAnsi="Times New Roman" w:eastAsia="仿宋_GB2312"/>
                <w:color w:val="auto"/>
                <w:sz w:val="18"/>
                <w:szCs w:val="18"/>
                <w:lang w:eastAsia="zh-CN"/>
              </w:rPr>
              <w:t>中华人民共和国政府信息公开条例</w:t>
            </w:r>
            <w:r>
              <w:rPr>
                <w:rFonts w:hint="eastAsia" w:ascii="仿宋_GB2312" w:hAnsi="Times New Roman" w:eastAsia="仿宋_GB2312"/>
                <w:color w:val="auto"/>
                <w:sz w:val="18"/>
                <w:szCs w:val="18"/>
              </w:rPr>
              <w:t xml:space="preserve">》  </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市文化广电旅游局，相关公共文化服务机构</w:t>
            </w:r>
          </w:p>
        </w:tc>
        <w:tc>
          <w:tcPr>
            <w:tcW w:w="134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672"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60" w:type="dxa"/>
            <w:vAlign w:val="center"/>
          </w:tcPr>
          <w:p>
            <w:pPr>
              <w:spacing w:line="240" w:lineRule="exact"/>
              <w:jc w:val="center"/>
              <w:rPr>
                <w:rFonts w:ascii="仿宋_GB2312" w:hAnsi="Times New Roman" w:eastAsia="仿宋_GB2312"/>
                <w:color w:val="auto"/>
                <w:sz w:val="18"/>
                <w:szCs w:val="18"/>
              </w:rPr>
            </w:pPr>
          </w:p>
        </w:tc>
        <w:tc>
          <w:tcPr>
            <w:tcW w:w="513"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72" w:type="dxa"/>
            <w:vAlign w:val="center"/>
          </w:tcPr>
          <w:p>
            <w:pPr>
              <w:spacing w:line="240" w:lineRule="exact"/>
              <w:jc w:val="center"/>
              <w:rPr>
                <w:rFonts w:ascii="仿宋_GB2312" w:hAnsi="Times New Roman" w:eastAsia="仿宋_GB2312"/>
                <w:color w:val="auto"/>
                <w:sz w:val="18"/>
                <w:szCs w:val="18"/>
              </w:rPr>
            </w:pPr>
          </w:p>
        </w:tc>
        <w:tc>
          <w:tcPr>
            <w:tcW w:w="671"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784"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14</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文博单位名录</w:t>
            </w:r>
          </w:p>
        </w:tc>
        <w:tc>
          <w:tcPr>
            <w:tcW w:w="191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文物保护管理机构和博物馆名录</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r>
              <w:rPr>
                <w:rFonts w:hint="eastAsia" w:ascii="仿宋_GB2312" w:hAnsi="Times New Roman" w:eastAsia="仿宋_GB2312"/>
                <w:color w:val="auto"/>
                <w:sz w:val="18"/>
                <w:szCs w:val="18"/>
                <w:lang w:eastAsia="zh-CN"/>
              </w:rPr>
              <w:t>中华人民共和国政府信息公开条例</w:t>
            </w:r>
            <w:r>
              <w:rPr>
                <w:rFonts w:hint="eastAsia" w:ascii="仿宋_GB2312" w:hAnsi="Times New Roman" w:eastAsia="仿宋_GB2312"/>
                <w:color w:val="auto"/>
                <w:sz w:val="18"/>
                <w:szCs w:val="18"/>
              </w:rPr>
              <w:t>》</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市文化广电旅游局、相关文物行政部门</w:t>
            </w:r>
          </w:p>
        </w:tc>
        <w:tc>
          <w:tcPr>
            <w:tcW w:w="134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672"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60" w:type="dxa"/>
            <w:vAlign w:val="center"/>
          </w:tcPr>
          <w:p>
            <w:pPr>
              <w:spacing w:line="240" w:lineRule="exact"/>
              <w:jc w:val="center"/>
              <w:rPr>
                <w:rFonts w:ascii="仿宋_GB2312" w:hAnsi="Times New Roman" w:eastAsia="仿宋_GB2312"/>
                <w:color w:val="auto"/>
                <w:sz w:val="18"/>
                <w:szCs w:val="18"/>
              </w:rPr>
            </w:pPr>
          </w:p>
        </w:tc>
        <w:tc>
          <w:tcPr>
            <w:tcW w:w="513"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72" w:type="dxa"/>
            <w:vAlign w:val="center"/>
          </w:tcPr>
          <w:p>
            <w:pPr>
              <w:spacing w:line="240" w:lineRule="exact"/>
              <w:jc w:val="center"/>
              <w:rPr>
                <w:rFonts w:ascii="仿宋_GB2312" w:hAnsi="Times New Roman" w:eastAsia="仿宋_GB2312"/>
                <w:color w:val="auto"/>
                <w:sz w:val="18"/>
                <w:szCs w:val="18"/>
              </w:rPr>
            </w:pPr>
          </w:p>
        </w:tc>
        <w:tc>
          <w:tcPr>
            <w:tcW w:w="671"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784"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r>
    </w:tbl>
    <w:p>
      <w:pPr>
        <w:jc w:val="left"/>
        <w:rPr>
          <w:rFonts w:ascii="Times New Roman" w:hAnsi="Times New Roman" w:eastAsia="方正小标宋_GBK"/>
          <w:color w:val="auto"/>
          <w:sz w:val="28"/>
          <w:szCs w:val="28"/>
        </w:rPr>
      </w:pPr>
    </w:p>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830BF"/>
    <w:multiLevelType w:val="singleLevel"/>
    <w:tmpl w:val="5F0830BF"/>
    <w:lvl w:ilvl="0" w:tentative="0">
      <w:start w:val="1"/>
      <w:numFmt w:val="decimal"/>
      <w:suff w:val="nothing"/>
      <w:lvlText w:val="%1."/>
      <w:lvlJc w:val="left"/>
    </w:lvl>
  </w:abstractNum>
  <w:abstractNum w:abstractNumId="1">
    <w:nsid w:val="5F0832E9"/>
    <w:multiLevelType w:val="singleLevel"/>
    <w:tmpl w:val="5F0832E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true"/>
  <w:bordersDoNotSurroundFooter w:val="true"/>
  <w:attachedTemplate r:id="rId1"/>
  <w:trackRevisions w:val="true"/>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9F0FB7"/>
    <w:rsid w:val="00E0339F"/>
    <w:rsid w:val="02B054AD"/>
    <w:rsid w:val="03966944"/>
    <w:rsid w:val="071241C6"/>
    <w:rsid w:val="0A920F52"/>
    <w:rsid w:val="0C384085"/>
    <w:rsid w:val="11576AF1"/>
    <w:rsid w:val="126F12B5"/>
    <w:rsid w:val="1C9D7FEF"/>
    <w:rsid w:val="237A4C53"/>
    <w:rsid w:val="255D415B"/>
    <w:rsid w:val="29CE16C4"/>
    <w:rsid w:val="2CD91B9E"/>
    <w:rsid w:val="36A147B7"/>
    <w:rsid w:val="40754296"/>
    <w:rsid w:val="412E1DD4"/>
    <w:rsid w:val="4142634C"/>
    <w:rsid w:val="43C92AA1"/>
    <w:rsid w:val="4420374A"/>
    <w:rsid w:val="4446112B"/>
    <w:rsid w:val="49EE2E09"/>
    <w:rsid w:val="4E9F0FB7"/>
    <w:rsid w:val="4F384441"/>
    <w:rsid w:val="54D351E1"/>
    <w:rsid w:val="5DF52F4C"/>
    <w:rsid w:val="5F447F1A"/>
    <w:rsid w:val="6D535020"/>
    <w:rsid w:val="72E0157C"/>
    <w:rsid w:val="733134C1"/>
    <w:rsid w:val="753E6634"/>
    <w:rsid w:val="75B14C22"/>
    <w:rsid w:val="75CA3ED2"/>
    <w:rsid w:val="777E9757"/>
    <w:rsid w:val="7975D436"/>
    <w:rsid w:val="7A8B1B1F"/>
    <w:rsid w:val="7D3643EB"/>
    <w:rsid w:val="7D5344D6"/>
    <w:rsid w:val="7E033DB9"/>
    <w:rsid w:val="DCD32ADA"/>
    <w:rsid w:val="F8C7D2D8"/>
    <w:rsid w:val="FCE69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uest/C:\Users\&#32701;&#32701;\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17</Pages>
  <Words>9883</Words>
  <Characters>10202</Characters>
  <Lines>0</Lines>
  <Paragraphs>0</Paragraphs>
  <TotalTime>36</TotalTime>
  <ScaleCrop>false</ScaleCrop>
  <LinksUpToDate>false</LinksUpToDate>
  <CharactersWithSpaces>10690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2020-07-01T18:36:00Z</dcterms:created>
  <dc:creator>梁羽</dc:creator>
  <cp:lastModifiedBy>guest</cp:lastModifiedBy>
  <cp:lastPrinted>2020-08-11T19:25:00Z</cp:lastPrinted>
  <dcterms:modified xsi:type="dcterms:W3CDTF">2023-05-19T18:44:34Z</dcterms:modified>
  <dc:title>中山市公共文化服务领域基层政务公开标准目录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6E02913C8AF644F0BD2C366B876D5665</vt:lpwstr>
  </property>
</Properties>
</file>