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附</w:t>
      </w:r>
      <w:r>
        <w:rPr>
          <w:rFonts w:hint="eastAsia"/>
          <w:color w:val="auto"/>
          <w:highlight w:val="none"/>
          <w:lang w:eastAsia="zh-CN"/>
        </w:rPr>
        <w:t>件</w:t>
      </w:r>
      <w:r>
        <w:rPr>
          <w:rFonts w:hint="eastAsia"/>
          <w:color w:val="auto"/>
          <w:highlight w:val="none"/>
        </w:rPr>
        <w:t>3</w:t>
      </w:r>
    </w:p>
    <w:p>
      <w:pPr>
        <w:jc w:val="center"/>
        <w:rPr>
          <w:rFonts w:ascii="宋体" w:hAnsi="宋体" w:eastAsia="宋体" w:cs="宋体"/>
          <w:color w:val="auto"/>
          <w:szCs w:val="21"/>
          <w:highlight w:val="none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pacing w:val="8"/>
          <w:sz w:val="36"/>
          <w:szCs w:val="36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石岐街道企业人才子入读区属公办学校评分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  <w:highlight w:val="none"/>
          <w:shd w:val="clear" w:color="auto" w:fill="FFFFFF"/>
        </w:rPr>
        <w:t>表</w:t>
      </w:r>
    </w:p>
    <w:p>
      <w:pPr>
        <w:rPr>
          <w:rFonts w:ascii="宋体" w:hAnsi="宋体" w:eastAsia="宋体" w:cs="宋体"/>
          <w:color w:val="auto"/>
          <w:spacing w:val="8"/>
          <w:szCs w:val="21"/>
          <w:highlight w:val="none"/>
          <w:shd w:val="clear" w:color="auto" w:fill="FFFFFF"/>
        </w:rPr>
      </w:pPr>
    </w:p>
    <w:p>
      <w:pPr>
        <w:rPr>
          <w:rFonts w:hint="eastAsia" w:ascii="楷体" w:hAnsi="楷体" w:eastAsia="楷体" w:cs="楷体"/>
          <w:color w:val="auto"/>
          <w:spacing w:val="8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pacing w:val="8"/>
          <w:sz w:val="28"/>
          <w:szCs w:val="28"/>
          <w:highlight w:val="none"/>
          <w:shd w:val="clear" w:color="auto" w:fill="FFFFFF"/>
        </w:rPr>
        <w:t>企业名称（盖章）：</w:t>
      </w:r>
      <w:r>
        <w:rPr>
          <w:rFonts w:hint="eastAsia" w:ascii="楷体" w:hAnsi="楷体" w:eastAsia="楷体" w:cs="楷体"/>
          <w:color w:val="auto"/>
          <w:spacing w:val="8"/>
          <w:sz w:val="28"/>
          <w:szCs w:val="28"/>
          <w:highlight w:val="none"/>
          <w:u w:val="single"/>
          <w:shd w:val="clear" w:color="auto" w:fill="FFFFFF"/>
        </w:rPr>
        <w:t xml:space="preserve">                  </w:t>
      </w:r>
    </w:p>
    <w:p>
      <w:pPr>
        <w:rPr>
          <w:rFonts w:hint="eastAsia" w:ascii="宋体" w:hAnsi="宋体" w:eastAsia="宋体" w:cs="宋体"/>
          <w:color w:val="auto"/>
          <w:spacing w:val="8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spacing w:val="8"/>
          <w:sz w:val="28"/>
          <w:szCs w:val="28"/>
          <w:highlight w:val="none"/>
          <w:shd w:val="clear" w:color="auto" w:fill="FFFFFF"/>
        </w:rPr>
        <w:t>申请人：</w:t>
      </w:r>
      <w:r>
        <w:rPr>
          <w:rFonts w:hint="eastAsia" w:ascii="宋体" w:hAnsi="宋体" w:eastAsia="宋体" w:cs="宋体"/>
          <w:color w:val="auto"/>
          <w:spacing w:val="8"/>
          <w:sz w:val="28"/>
          <w:szCs w:val="28"/>
          <w:highlight w:val="none"/>
          <w:u w:val="single"/>
          <w:shd w:val="clear" w:color="auto" w:fill="FFFFFF"/>
        </w:rPr>
        <w:t xml:space="preserve">                   </w:t>
      </w:r>
    </w:p>
    <w:tbl>
      <w:tblPr>
        <w:tblStyle w:val="6"/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07"/>
        <w:gridCol w:w="786"/>
        <w:gridCol w:w="247"/>
        <w:gridCol w:w="1846"/>
        <w:gridCol w:w="1020"/>
        <w:gridCol w:w="1170"/>
        <w:gridCol w:w="1097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highlight w:val="none"/>
              </w:rPr>
              <w:t>一级指标</w:t>
            </w: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highlight w:val="none"/>
              </w:rPr>
              <w:t>二级指标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highlight w:val="none"/>
              </w:rPr>
              <w:t>分值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highlight w:val="none"/>
              </w:rPr>
              <w:t>自评分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highlight w:val="none"/>
              </w:rPr>
              <w:t>核准分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highlight w:val="none"/>
              </w:rPr>
              <w:t>个人基本</w:t>
            </w: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符合入读石岐街道公办学校基本条件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200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50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研究生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75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博士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100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※35岁以下青年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（10）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高层次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人才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“中山市企业人才”或经市人社局认定的“中山市紧缺适用高层次人才”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职业或</w:t>
            </w: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专业技术资格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高级工、专业技术资格</w:t>
            </w: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初级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50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技师、专业技术资格中级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75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高级技师、专业技术资格高级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100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职务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第四、五层级高级管理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人员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第三层级高级管理人员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第二层级高级管理人员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75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第一层级高级管理人员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eastAsia="zh-CN"/>
              </w:rPr>
              <w:t>（仅限法人代表，最大股东）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100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highlight w:val="none"/>
              </w:rPr>
              <w:t>企业发展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highlight w:val="none"/>
              </w:rPr>
              <w:t>情况</w:t>
            </w: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企业发展情况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各行业前5名龙头企业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第五名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  <w:t>200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  <w:t>行业主管部门评定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个人得分=企业总分÷企业总申请人数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</w:rPr>
              <w:t>个人得分=企业总分÷企业总申请人数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第四名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  <w:t>400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第三名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  <w:t>600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第二名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  <w:t>800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第一名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  <w:t>1000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新入库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企业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  <w:t>2023年起，新纳入石岐“四上”企业名录库的企业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上年度</w:t>
            </w: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经济指标增长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0%-10%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10%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（含）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-30%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30%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（含）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-50%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50%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（含）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-100%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100%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（含）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以上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上年度纳税额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00万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（含）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-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00万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500万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（含）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-1000万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200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1000万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（含）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-3000万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3000万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（含）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-5000万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5000万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（含）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-1亿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1亿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（含）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-3亿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3亿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（含）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-5亿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32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亿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（含）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-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亿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5000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亿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（含）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以上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高新技术企业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100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专精特新企业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200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单项冠军企业、“小巨人”企业、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highlight w:val="none"/>
                <w:lang w:eastAsia="zh-CN"/>
              </w:rPr>
              <w:t>独角兽企业、瞪羚企业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400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09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企业在参加</w:t>
            </w:r>
          </w:p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石岐街道各类慈善捐款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5万以下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25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ind w:firstLine="210" w:firstLineChars="100"/>
              <w:jc w:val="left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093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5万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（含）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-10万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50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0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10万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（含）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-20万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75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0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20万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（含）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以上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100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荣获石岐街道稳企安商企业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社会贡献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奖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100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荣获石岐街道稳企安商企业进步奖、创新奖、新锐奖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荣获石岐街道稳企安商企业友谊奖</w:t>
            </w:r>
          </w:p>
        </w:tc>
        <w:tc>
          <w:tcPr>
            <w:tcW w:w="1846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交心友谊奖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</w:rPr>
              <w:t>25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知心友谊奖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</w:rPr>
              <w:t>50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同心友谊奖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</w:rPr>
              <w:t>75</w:t>
            </w:r>
            <w:bookmarkStart w:id="0" w:name="_GoBack"/>
            <w:bookmarkEnd w:id="0"/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Cs w:val="21"/>
                <w:highlight w:val="none"/>
              </w:rPr>
              <w:t>个人荣誉及社会贡献</w:t>
            </w:r>
          </w:p>
        </w:tc>
        <w:tc>
          <w:tcPr>
            <w:tcW w:w="4186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荣获上年度石岐街道稳企安商企业人才奖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50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获得石岐街道党工委、办事处表彰嘉奖或授予荣誉称号的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获得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中山市市级（含市直部门）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表彰嘉奖或授予荣誉称号的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获得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广东省省级（含省直部门）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表彰嘉奖或授予荣誉称号的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200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186" w:type="dxa"/>
            <w:gridSpan w:val="4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获得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国家级（含国家部委）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表彰嘉奖或授予荣誉称号的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获文明系统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先进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eastAsia="zh-CN"/>
              </w:rPr>
              <w:t>个人荣誉称号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“中山好人”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50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“广东好人”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100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“中国好人”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00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vMerge w:val="restart"/>
            <w:vAlign w:val="center"/>
          </w:tcPr>
          <w:p>
            <w:pPr>
              <w:ind w:firstLine="240" w:firstLineChars="100"/>
              <w:jc w:val="left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参与无偿献血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1次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25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2次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50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参与志愿服务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50-75小时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25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75-100小时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50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rPr>
                <w:rFonts w:ascii="楷体" w:hAnsi="楷体" w:eastAsia="楷体" w:cs="楷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100小时以上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75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14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highlight w:val="none"/>
              </w:rPr>
              <w:t>合  计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auto"/>
                <w:sz w:val="24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</w:p>
    <w:p>
      <w:pPr>
        <w:spacing w:afterLines="80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申请人确认签名：</w:t>
      </w:r>
    </w:p>
    <w:p>
      <w:pPr>
        <w:spacing w:afterLines="80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石岐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街道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行业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主管部门审核人签名：</w:t>
      </w:r>
    </w:p>
    <w:p>
      <w:pPr>
        <w:spacing w:afterLines="80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石岐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街道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行业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主管部门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负责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人签名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部门公章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：</w:t>
      </w:r>
    </w:p>
    <w:p>
      <w:pPr>
        <w:spacing w:afterLines="80"/>
        <w:rPr>
          <w:rFonts w:hint="eastAsia" w:ascii="楷体" w:hAnsi="楷体" w:eastAsia="楷体" w:cs="楷体"/>
          <w:color w:val="auto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街道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分管领导意见：</w:t>
      </w:r>
    </w:p>
    <w:sectPr>
      <w:footerReference r:id="rId3" w:type="default"/>
      <w:pgSz w:w="11906" w:h="16838"/>
      <w:pgMar w:top="1080" w:right="1440" w:bottom="638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84574"/>
    <w:rsid w:val="00266DC4"/>
    <w:rsid w:val="00266F18"/>
    <w:rsid w:val="00823743"/>
    <w:rsid w:val="009033BA"/>
    <w:rsid w:val="00DF10A7"/>
    <w:rsid w:val="01BD0F0F"/>
    <w:rsid w:val="035352D2"/>
    <w:rsid w:val="05B0702D"/>
    <w:rsid w:val="06546B53"/>
    <w:rsid w:val="09B97DDD"/>
    <w:rsid w:val="0B511AEC"/>
    <w:rsid w:val="0C823F8B"/>
    <w:rsid w:val="0CE85B1B"/>
    <w:rsid w:val="0DF945D1"/>
    <w:rsid w:val="0F181340"/>
    <w:rsid w:val="137D791A"/>
    <w:rsid w:val="1387217B"/>
    <w:rsid w:val="14923EDC"/>
    <w:rsid w:val="165B57AE"/>
    <w:rsid w:val="183B6465"/>
    <w:rsid w:val="1AE454E3"/>
    <w:rsid w:val="1CC9753C"/>
    <w:rsid w:val="1D266959"/>
    <w:rsid w:val="20043692"/>
    <w:rsid w:val="20373FA2"/>
    <w:rsid w:val="20BA737A"/>
    <w:rsid w:val="221E18DC"/>
    <w:rsid w:val="23186F72"/>
    <w:rsid w:val="252D4126"/>
    <w:rsid w:val="25BC717F"/>
    <w:rsid w:val="27573509"/>
    <w:rsid w:val="297A7EED"/>
    <w:rsid w:val="29C10565"/>
    <w:rsid w:val="2BB83B98"/>
    <w:rsid w:val="2DA525B6"/>
    <w:rsid w:val="326F34C6"/>
    <w:rsid w:val="329C6446"/>
    <w:rsid w:val="343A7E6B"/>
    <w:rsid w:val="34BC2275"/>
    <w:rsid w:val="37451B74"/>
    <w:rsid w:val="38784574"/>
    <w:rsid w:val="38E93302"/>
    <w:rsid w:val="392478D9"/>
    <w:rsid w:val="3A525CEE"/>
    <w:rsid w:val="3B835670"/>
    <w:rsid w:val="3BEA1571"/>
    <w:rsid w:val="3CC33B39"/>
    <w:rsid w:val="3D624C17"/>
    <w:rsid w:val="3F754A5D"/>
    <w:rsid w:val="41CB469C"/>
    <w:rsid w:val="42087782"/>
    <w:rsid w:val="44277C01"/>
    <w:rsid w:val="45C6636F"/>
    <w:rsid w:val="46332F86"/>
    <w:rsid w:val="51783AB7"/>
    <w:rsid w:val="51952963"/>
    <w:rsid w:val="52230826"/>
    <w:rsid w:val="52AE02F3"/>
    <w:rsid w:val="545D3577"/>
    <w:rsid w:val="54B9622D"/>
    <w:rsid w:val="553113A7"/>
    <w:rsid w:val="59F97CD0"/>
    <w:rsid w:val="5B124670"/>
    <w:rsid w:val="5B14587B"/>
    <w:rsid w:val="5C474906"/>
    <w:rsid w:val="5DF870B6"/>
    <w:rsid w:val="5E596339"/>
    <w:rsid w:val="5E757F1F"/>
    <w:rsid w:val="604467F3"/>
    <w:rsid w:val="6103558A"/>
    <w:rsid w:val="611957CE"/>
    <w:rsid w:val="628E7B39"/>
    <w:rsid w:val="629B4AD8"/>
    <w:rsid w:val="62FC3CF2"/>
    <w:rsid w:val="652A3E48"/>
    <w:rsid w:val="669863E0"/>
    <w:rsid w:val="68F953B3"/>
    <w:rsid w:val="69791A76"/>
    <w:rsid w:val="6B880BF3"/>
    <w:rsid w:val="6CDB6239"/>
    <w:rsid w:val="6E3F4025"/>
    <w:rsid w:val="6E446CF7"/>
    <w:rsid w:val="72E70271"/>
    <w:rsid w:val="76CC24D8"/>
    <w:rsid w:val="771715A4"/>
    <w:rsid w:val="780E6A0C"/>
    <w:rsid w:val="781A2942"/>
    <w:rsid w:val="79ED163D"/>
    <w:rsid w:val="7B82357D"/>
    <w:rsid w:val="7B961231"/>
    <w:rsid w:val="7C5A4DC0"/>
    <w:rsid w:val="7E774BD7"/>
    <w:rsid w:val="7F27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18"/>
      <w:szCs w:val="18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标题 1 Char"/>
    <w:link w:val="2"/>
    <w:qFormat/>
    <w:uiPriority w:val="0"/>
    <w:rPr>
      <w:rFonts w:hint="eastAsia" w:ascii="宋体" w:hAnsi="宋体" w:eastAsia="宋体" w:cs="宋体"/>
      <w:kern w:val="44"/>
      <w:sz w:val="18"/>
      <w:szCs w:val="18"/>
      <w:lang w:val="en-US" w:eastAsia="zh-CN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2019-03-19T01:07:00Z</dcterms:created>
  <dc:creator>Administrator</dc:creator>
  <cp:lastModifiedBy>兰希</cp:lastModifiedBy>
  <cp:lastPrinted>2021-03-22T00:07:00Z</cp:lastPrinted>
  <dcterms:modified xsi:type="dcterms:W3CDTF">2023-02-21T07:34:44Z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B081F91E5EF84CA29B023DC5B346DDBC</vt:lpwstr>
  </property>
</Properties>
</file>