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jc w:val="center"/>
        <w:textAlignment w:val="auto"/>
        <w:outlineLvl w:val="9"/>
        <w:rPr>
          <w:rFonts w:hint="eastAsia" w:ascii="创艺简标宋" w:hAnsi="创艺简标宋" w:eastAsia="创艺简标宋" w:cs="创艺简标宋"/>
          <w:color w:val="auto"/>
          <w:sz w:val="40"/>
          <w:szCs w:val="40"/>
          <w:u w:val="none"/>
          <w:lang w:val="en-US" w:eastAsia="zh-CN"/>
        </w:rPr>
      </w:pPr>
      <w:bookmarkStart w:id="0" w:name="_GoBack"/>
      <w:bookmarkEnd w:id="0"/>
      <w:r>
        <w:rPr>
          <w:rFonts w:hint="eastAsia" w:ascii="创艺简标宋" w:hAnsi="创艺简标宋" w:eastAsia="创艺简标宋" w:cs="创艺简标宋"/>
          <w:color w:val="auto"/>
          <w:sz w:val="40"/>
          <w:szCs w:val="40"/>
          <w:u w:val="none"/>
          <w:lang w:val="en-US" w:eastAsia="zh-CN"/>
        </w:rPr>
        <w:t>石岐街道企业人才子女入读义务教育</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jc w:val="center"/>
        <w:textAlignment w:val="auto"/>
        <w:outlineLvl w:val="9"/>
        <w:rPr>
          <w:rFonts w:hint="eastAsia" w:ascii="创艺简标宋" w:hAnsi="创艺简标宋" w:eastAsia="创艺简标宋" w:cs="创艺简标宋"/>
          <w:color w:val="auto"/>
          <w:sz w:val="40"/>
          <w:szCs w:val="40"/>
          <w:u w:val="none"/>
          <w:lang w:val="en-US" w:eastAsia="zh-CN"/>
        </w:rPr>
      </w:pPr>
      <w:r>
        <w:rPr>
          <w:rFonts w:hint="eastAsia" w:ascii="创艺简标宋" w:hAnsi="创艺简标宋" w:eastAsia="创艺简标宋" w:cs="创艺简标宋"/>
          <w:color w:val="auto"/>
          <w:sz w:val="40"/>
          <w:szCs w:val="40"/>
          <w:u w:val="none"/>
          <w:lang w:val="en-US" w:eastAsia="zh-CN"/>
        </w:rPr>
        <w:t>公办学校实施细则</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jc w:val="both"/>
        <w:textAlignment w:val="auto"/>
        <w:outlineLvl w:val="9"/>
        <w:rPr>
          <w:rFonts w:hint="eastAsia" w:ascii="Times New Roman"/>
          <w:color w:val="auto"/>
          <w:sz w:val="32"/>
          <w:szCs w:val="32"/>
          <w:u w:val="none"/>
          <w:lang w:val="en-US" w:eastAsia="zh-CN"/>
        </w:rPr>
      </w:pP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第一条</w:t>
      </w:r>
      <w:r>
        <w:rPr>
          <w:rFonts w:hint="eastAsia" w:ascii="Times New Roman"/>
          <w:color w:val="auto"/>
          <w:sz w:val="32"/>
          <w:szCs w:val="32"/>
          <w:u w:val="none"/>
          <w:lang w:val="en-US" w:eastAsia="zh-CN"/>
        </w:rPr>
        <w:t xml:space="preserve"> 为激励企业扎根石岐发展壮大，促进石岐经济高质量发展</w:t>
      </w:r>
      <w:r>
        <w:rPr>
          <w:rFonts w:hint="eastAsia" w:ascii="Times New Roman"/>
          <w:color w:val="auto"/>
          <w:sz w:val="32"/>
          <w:szCs w:val="32"/>
          <w:highlight w:val="none"/>
          <w:u w:val="none"/>
          <w:lang w:val="en-US" w:eastAsia="zh-CN"/>
        </w:rPr>
        <w:t>，根据中山市义务教育学校招生入学工作指导意见等</w:t>
      </w:r>
      <w:r>
        <w:rPr>
          <w:rFonts w:hint="eastAsia" w:ascii="Times New Roman"/>
          <w:color w:val="auto"/>
          <w:sz w:val="32"/>
          <w:szCs w:val="32"/>
          <w:u w:val="none"/>
          <w:lang w:val="en-US" w:eastAsia="zh-CN"/>
        </w:rPr>
        <w:t>文件精神，结合石岐街道实际制定本实施细则。</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第二条</w:t>
      </w:r>
      <w:r>
        <w:rPr>
          <w:rFonts w:hint="eastAsia" w:ascii="Times New Roman"/>
          <w:color w:val="auto"/>
          <w:sz w:val="32"/>
          <w:szCs w:val="32"/>
          <w:u w:val="none"/>
          <w:lang w:val="en-US" w:eastAsia="zh-CN"/>
        </w:rPr>
        <w:t xml:space="preserve"> 本细则所适用的企业包括：</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（一）当年纳入统计联网直报平台的石岐街道规上工业企业、限上批零住餐企业、规上服务业企业、具有总承包或专业承包建筑业资质的建筑业企业；在石岐街道注册且在辖区内有在建或在售项目的房地产企业，</w:t>
      </w:r>
      <w:r>
        <w:rPr>
          <w:rFonts w:hint="eastAsia" w:ascii="Times New Roman" w:hAnsi="Times New Roman" w:eastAsia="仿宋_GB2312" w:cs="Times New Roman"/>
          <w:i w:val="0"/>
          <w:iCs w:val="0"/>
          <w:color w:val="auto"/>
          <w:spacing w:val="11"/>
          <w:kern w:val="0"/>
          <w:sz w:val="32"/>
          <w:szCs w:val="32"/>
          <w:highlight w:val="none"/>
          <w:u w:val="none"/>
        </w:rPr>
        <w:t>在石岐街道辖区范围内注册，实行独立核算，并经国家、省、市金融监管部门批准、登记或备案的银行机构、保险公司、证券公司的市级或三级以上金融机构</w:t>
      </w:r>
      <w:r>
        <w:rPr>
          <w:rFonts w:hint="eastAsia" w:ascii="Times New Roman" w:hAnsi="Times New Roman" w:cs="Times New Roman"/>
          <w:i w:val="0"/>
          <w:iCs w:val="0"/>
          <w:color w:val="auto"/>
          <w:spacing w:val="11"/>
          <w:kern w:val="0"/>
          <w:sz w:val="32"/>
          <w:szCs w:val="32"/>
          <w:highlight w:val="none"/>
          <w:u w:val="none"/>
          <w:lang w:eastAsia="zh-CN"/>
        </w:rPr>
        <w:t>；</w:t>
      </w:r>
      <w:r>
        <w:rPr>
          <w:rFonts w:hint="default" w:ascii="Times New Roman" w:hAnsi="Times New Roman" w:eastAsia="仿宋_GB2312" w:cs="Times New Roman"/>
          <w:color w:val="auto"/>
          <w:sz w:val="32"/>
          <w:szCs w:val="32"/>
          <w:u w:val="none"/>
        </w:rPr>
        <w:t>统计在石岐存贷款余额数据排名前5名的银行机构</w:t>
      </w:r>
      <w:r>
        <w:rPr>
          <w:rFonts w:hint="eastAsia" w:ascii="Times New Roman" w:hAnsi="Times New Roman" w:cs="Times New Roman"/>
          <w:i w:val="0"/>
          <w:iCs w:val="0"/>
          <w:color w:val="auto"/>
          <w:spacing w:val="11"/>
          <w:kern w:val="0"/>
          <w:sz w:val="32"/>
          <w:szCs w:val="32"/>
          <w:highlight w:val="none"/>
          <w:u w:val="none"/>
          <w:lang w:eastAsia="zh-CN"/>
        </w:rPr>
        <w:t>；</w:t>
      </w:r>
      <w:r>
        <w:rPr>
          <w:rFonts w:hint="eastAsia" w:ascii="Times New Roman"/>
          <w:color w:val="auto"/>
          <w:sz w:val="32"/>
          <w:szCs w:val="32"/>
          <w:u w:val="none"/>
          <w:lang w:val="en-US" w:eastAsia="zh-CN"/>
        </w:rPr>
        <w:t>辖区范围内在建省、市重点项目投资企业。</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highlight w:val="none"/>
          <w:u w:val="none"/>
          <w:lang w:val="en-US" w:eastAsia="zh-CN"/>
        </w:rPr>
      </w:pPr>
      <w:r>
        <w:rPr>
          <w:rFonts w:hint="eastAsia" w:ascii="Times New Roman"/>
          <w:color w:val="auto"/>
          <w:sz w:val="32"/>
          <w:szCs w:val="32"/>
          <w:highlight w:val="none"/>
          <w:u w:val="none"/>
          <w:lang w:val="en-US" w:eastAsia="zh-CN"/>
        </w:rPr>
        <w:t>（二）上述企业中在石岐街道注册和纳税的下属企业。</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第三条</w:t>
      </w:r>
      <w:r>
        <w:rPr>
          <w:rFonts w:hint="eastAsia" w:ascii="Times New Roman"/>
          <w:color w:val="auto"/>
          <w:sz w:val="32"/>
          <w:szCs w:val="32"/>
          <w:u w:val="none"/>
          <w:lang w:val="en-US" w:eastAsia="zh-CN"/>
        </w:rPr>
        <w:t xml:space="preserve"> 本细则所指的企业人才包括：</w:t>
      </w:r>
      <w:r>
        <w:rPr>
          <w:rFonts w:ascii="Times New Roman" w:hAnsi="Times New Roman" w:eastAsia="仿宋_GB2312" w:cs="Times New Roman"/>
          <w:color w:val="auto"/>
          <w:sz w:val="32"/>
          <w:szCs w:val="32"/>
          <w:u w:val="none"/>
        </w:rPr>
        <w:t>经市人社局认定为“中山市企业人才”或“中山市紧缺适用高层次人才”</w:t>
      </w:r>
      <w:r>
        <w:rPr>
          <w:rFonts w:hint="eastAsia" w:ascii="Times New Roman" w:hAnsi="Times New Roman" w:cs="Times New Roman"/>
          <w:color w:val="auto"/>
          <w:sz w:val="32"/>
          <w:szCs w:val="32"/>
          <w:u w:val="none"/>
          <w:lang w:eastAsia="zh-CN"/>
        </w:rPr>
        <w:t>、</w:t>
      </w:r>
      <w:r>
        <w:rPr>
          <w:rFonts w:hint="eastAsia" w:ascii="Times New Roman"/>
          <w:color w:val="auto"/>
          <w:sz w:val="32"/>
          <w:szCs w:val="32"/>
          <w:u w:val="none"/>
          <w:lang w:val="en-US" w:eastAsia="zh-CN"/>
        </w:rPr>
        <w:t>企业高管、具有高中级职称、特殊技能、特殊岗位人员和其他企业特需人员，且须在申请企业工作满6个月以上，企业高管须任现职务6个月以上。</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第四条</w:t>
      </w:r>
      <w:r>
        <w:rPr>
          <w:rFonts w:hint="eastAsia" w:ascii="Times New Roman"/>
          <w:color w:val="auto"/>
          <w:sz w:val="32"/>
          <w:szCs w:val="32"/>
          <w:u w:val="none"/>
          <w:lang w:val="en-US" w:eastAsia="zh-CN"/>
        </w:rPr>
        <w:t xml:space="preserve"> 企业人才子女，是指企业人才的子女或法定登记手续完备的收养子女。</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第五条</w:t>
      </w:r>
      <w:r>
        <w:rPr>
          <w:rFonts w:hint="eastAsia" w:ascii="Times New Roman"/>
          <w:color w:val="auto"/>
          <w:sz w:val="32"/>
          <w:szCs w:val="32"/>
          <w:u w:val="none"/>
          <w:lang w:val="en-US" w:eastAsia="zh-CN"/>
        </w:rPr>
        <w:t xml:space="preserve"> 学位安排和申请范围</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当年5-6月，由石岐街道根据公办学校学位实际情况，按市招生文件精神，在满足本街道户籍适龄儿童及政策性优待生入学的基础上，再安排一定数量的公办学位，按照申请人累计得分高低依次统筹安排企业人才子女入学。</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申请范围包括入读石岐街道属义务教育公办小学一年级、初中一年级，以及插班入读公办中、小学其它年级。</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 xml:space="preserve">第六条 </w:t>
      </w:r>
      <w:r>
        <w:rPr>
          <w:rFonts w:hint="eastAsia" w:ascii="Times New Roman"/>
          <w:color w:val="auto"/>
          <w:sz w:val="32"/>
          <w:szCs w:val="32"/>
          <w:u w:val="none"/>
          <w:lang w:val="en-US" w:eastAsia="zh-CN"/>
        </w:rPr>
        <w:t>申请办法</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（一）企业人才如实填写有关表格和提交对应证明材料；</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二）石岐街道工业信息和科技局（简称工信局）、发展改革和统计局（简称发改局）、城市建设和管理局（简称城建局）、市财政局石岐分局（简称财政分局）分别对各部门服务的企业人才申请材料进行审核评分，采用累计积分方式进行依次排序，确定入学资格；</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（三）符合积分入学条件的申请人（子女和父母一方为外市户籍的）必须参加中山市当年的积分入学，并提交积分入学回执，同等条件下，在石岐街道参与积分的人员在学位安排方面享有优先权；</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（四）申请人不服从子女入学安排的，其子女入学问题自行解决；</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（五）申请插班由相关部门根据石岐街道教体文旅局提供的学位情况提出审核意见，学位不足时不接受申请。已在石岐街道公办学校就读的学生，原则上不得再申请街道其他公办学校的插班。</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第七条</w:t>
      </w:r>
      <w:r>
        <w:rPr>
          <w:rFonts w:hint="eastAsia" w:ascii="Times New Roman"/>
          <w:color w:val="auto"/>
          <w:sz w:val="32"/>
          <w:szCs w:val="32"/>
          <w:u w:val="none"/>
          <w:lang w:val="en-US" w:eastAsia="zh-CN"/>
        </w:rPr>
        <w:t xml:space="preserve"> 累计积分内容包括申请人个人基本情况、企业发展情况、个人社会贡献三个部分，其中企业发展情况采取人均得分方式，申请人依据累计积分项目提交对应证明材料（见附件1）。</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第八条</w:t>
      </w:r>
      <w:r>
        <w:rPr>
          <w:rFonts w:hint="eastAsia" w:ascii="Times New Roman"/>
          <w:color w:val="auto"/>
          <w:sz w:val="32"/>
          <w:szCs w:val="32"/>
          <w:u w:val="none"/>
          <w:lang w:val="en-US" w:eastAsia="zh-CN"/>
        </w:rPr>
        <w:t xml:space="preserve"> 办理程序</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一）符合条件的申请人，于入学当年5月，以企业为单位向街道相关部门（工信局负责工业、限上批零住餐企业；发改局负责规上服务业企业、银行业以外的金融业企业及在建省和市重点项目投资企业；城建局负责具有总承包或专业承包建筑业资质的建筑业企业、房地产企业；财政分局负责银行业企业）提交申请。</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（二）工信局、发改局、城建局、财政分局等部门对申请材料进行初审（须两人以上核对签名确认）与评分，提出审核意见，将初步符合条件的企业人才子女名单经分管领导签名同意后交发改局汇总。</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（三）发改局汇总企业人才积分名单及申请材料后对积分名单进行公示，公示期不少于5个工作日。公示过程中有异议的名单，经调查核实申请人提供虚假资料的，取消该申请人资格。</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（四）发改局将通过公示的企业人才积分名单及有关资料交教体文旅局，教体文旅局根据当年可提供的学位数量及申请人累计积分初步确定学位分配情况，并提交街道党工委会议审议。</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（五）街道党工委会议审议通过后，教体文旅局安排学位。</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第九条</w:t>
      </w:r>
      <w:r>
        <w:rPr>
          <w:rFonts w:hint="eastAsia" w:ascii="Times New Roman"/>
          <w:color w:val="auto"/>
          <w:sz w:val="32"/>
          <w:szCs w:val="32"/>
          <w:u w:val="none"/>
          <w:lang w:val="en-US" w:eastAsia="zh-CN"/>
        </w:rPr>
        <w:t xml:space="preserve"> 申请人需提交的资料</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1.以企业名义开具申请函件；</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2.《石岐街道企业人才子女入读街道属公办学校申请表》（附件2）；</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3.《石岐街道企业人才子入读街道属公办学校评分表》（附件3）及对应证明材料（原件和复印件）；</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4.企业人才子女的出生证明（或其他能证明亲子关系或收养关系的材料，复印件），企业人才及其子女的户口簿、身份证或护照等有效身份证明（复印件）；</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5.申请人6个月以上的参保记录；</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6.其他需要特别说明的有关资料，及教育行政部门和学校要求提供的其他有关资料。</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第十条</w:t>
      </w:r>
      <w:r>
        <w:rPr>
          <w:rFonts w:hint="eastAsia" w:ascii="Times New Roman"/>
          <w:color w:val="auto"/>
          <w:sz w:val="32"/>
          <w:szCs w:val="32"/>
          <w:u w:val="none"/>
          <w:lang w:val="en-US" w:eastAsia="zh-CN"/>
        </w:rPr>
        <w:t xml:space="preserve"> 工信局、发改局、城建局、财政分局应加强石岐街道招生政策宣传工作，提前指导和协助企业人才填报申请表格和准备资料，为申请人依法依规获得累计积分提供最大支持。</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第十一条</w:t>
      </w:r>
      <w:r>
        <w:rPr>
          <w:rFonts w:hint="eastAsia" w:ascii="Times New Roman"/>
          <w:color w:val="auto"/>
          <w:sz w:val="32"/>
          <w:szCs w:val="32"/>
          <w:u w:val="none"/>
          <w:lang w:val="en-US" w:eastAsia="zh-CN"/>
        </w:rPr>
        <w:t xml:space="preserve"> 申请材料必须真实，一经发现企业有弄虚作假情况的，立即取消该企业当年全部人员的申请资格；已获得学位的当事人学位予以取消，三年内不得接受当事人所在企业人才子女入学的申请。情节严重的，交相关部门处理。</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第十二条</w:t>
      </w:r>
      <w:r>
        <w:rPr>
          <w:rFonts w:hint="eastAsia" w:ascii="Times New Roman"/>
          <w:color w:val="auto"/>
          <w:sz w:val="32"/>
          <w:szCs w:val="32"/>
          <w:u w:val="none"/>
          <w:lang w:val="en-US" w:eastAsia="zh-CN"/>
        </w:rPr>
        <w:t xml:space="preserve"> 社会贡献突出人员、重点人才企业急需人才、困难群体、抢险救灾英模等子女入学事宜可按照“一事一议”原则另行提交党工委会议审议。</w:t>
      </w:r>
    </w:p>
    <w:p>
      <w:pPr>
        <w:keepNext w:val="0"/>
        <w:keepLines w:val="0"/>
        <w:pageBreakBefore w:val="0"/>
        <w:widowControl/>
        <w:numPr>
          <w:ilvl w:val="0"/>
          <w:numId w:val="0"/>
        </w:numPr>
        <w:kinsoku/>
        <w:wordWrap/>
        <w:overflowPunct/>
        <w:topLinePunct w:val="0"/>
        <w:autoSpaceDE w:val="0"/>
        <w:autoSpaceDN w:val="0"/>
        <w:bidi w:val="0"/>
        <w:adjustRightInd/>
        <w:snapToGrid w:val="0"/>
        <w:spacing w:beforeAutospacing="0" w:after="0" w:afterAutospacing="0" w:line="336" w:lineRule="auto"/>
        <w:ind w:left="0" w:leftChars="0" w:right="0" w:rightChars="0" w:firstLine="737"/>
        <w:jc w:val="both"/>
        <w:textAlignment w:val="auto"/>
        <w:outlineLvl w:val="9"/>
        <w:rPr>
          <w:rFonts w:hint="eastAsia" w:ascii="Times New Roman" w:hAnsi="宋体" w:eastAsia="仿宋_GB2312" w:cstheme="minorBidi"/>
          <w:color w:val="auto"/>
          <w:spacing w:val="0"/>
          <w:kern w:val="0"/>
          <w:sz w:val="32"/>
          <w:szCs w:val="32"/>
          <w:highlight w:val="none"/>
          <w:u w:val="none"/>
        </w:rPr>
      </w:pPr>
      <w:r>
        <w:rPr>
          <w:rFonts w:hint="eastAsia" w:ascii="黑体" w:hAnsi="黑体" w:eastAsia="黑体" w:cs="黑体"/>
          <w:color w:val="auto"/>
          <w:spacing w:val="11"/>
          <w:kern w:val="0"/>
          <w:sz w:val="32"/>
          <w:szCs w:val="32"/>
          <w:highlight w:val="none"/>
          <w:u w:val="none"/>
        </w:rPr>
        <w:t>第十</w:t>
      </w:r>
      <w:r>
        <w:rPr>
          <w:rFonts w:hint="eastAsia" w:ascii="黑体" w:hAnsi="黑体" w:eastAsia="黑体" w:cs="黑体"/>
          <w:color w:val="auto"/>
          <w:spacing w:val="11"/>
          <w:kern w:val="0"/>
          <w:sz w:val="32"/>
          <w:szCs w:val="32"/>
          <w:highlight w:val="none"/>
          <w:u w:val="none"/>
          <w:lang w:val="en-US" w:eastAsia="zh-CN"/>
        </w:rPr>
        <w:t>三</w:t>
      </w:r>
      <w:r>
        <w:rPr>
          <w:rFonts w:hint="eastAsia" w:ascii="黑体" w:hAnsi="黑体" w:eastAsia="黑体" w:cs="黑体"/>
          <w:color w:val="auto"/>
          <w:spacing w:val="11"/>
          <w:kern w:val="0"/>
          <w:sz w:val="32"/>
          <w:szCs w:val="32"/>
          <w:highlight w:val="none"/>
          <w:u w:val="none"/>
        </w:rPr>
        <w:t>条</w:t>
      </w:r>
      <w:r>
        <w:rPr>
          <w:rFonts w:hint="eastAsia" w:ascii="Times New Roman" w:hAnsi="宋体" w:eastAsia="仿宋_GB2312" w:cstheme="minorBidi"/>
          <w:color w:val="auto"/>
          <w:spacing w:val="0"/>
          <w:kern w:val="0"/>
          <w:sz w:val="32"/>
          <w:szCs w:val="32"/>
          <w:highlight w:val="none"/>
          <w:u w:val="none"/>
        </w:rPr>
        <w:t xml:space="preserve"> 申报期间停止营业、迁出石岐的企业，将取消</w:t>
      </w:r>
      <w:r>
        <w:rPr>
          <w:rFonts w:hint="eastAsia" w:ascii="Times New Roman" w:hAnsi="宋体" w:cstheme="minorBidi"/>
          <w:color w:val="auto"/>
          <w:spacing w:val="0"/>
          <w:kern w:val="0"/>
          <w:sz w:val="32"/>
          <w:szCs w:val="32"/>
          <w:u w:val="none"/>
          <w:lang w:val="en-US" w:eastAsia="zh-CN"/>
        </w:rPr>
        <w:t>该企业人才申报</w:t>
      </w:r>
      <w:r>
        <w:rPr>
          <w:rFonts w:hint="eastAsia" w:ascii="Times New Roman" w:hAnsi="宋体" w:eastAsia="仿宋_GB2312" w:cstheme="minorBidi"/>
          <w:color w:val="auto"/>
          <w:spacing w:val="0"/>
          <w:kern w:val="0"/>
          <w:sz w:val="32"/>
          <w:szCs w:val="32"/>
          <w:highlight w:val="none"/>
          <w:u w:val="none"/>
        </w:rPr>
        <w:t>资格。</w:t>
      </w:r>
    </w:p>
    <w:p>
      <w:pPr>
        <w:keepNext w:val="0"/>
        <w:keepLines w:val="0"/>
        <w:pageBreakBefore w:val="0"/>
        <w:widowControl/>
        <w:numPr>
          <w:ilvl w:val="0"/>
          <w:numId w:val="0"/>
        </w:numPr>
        <w:kinsoku/>
        <w:wordWrap/>
        <w:overflowPunct/>
        <w:topLinePunct w:val="0"/>
        <w:autoSpaceDE w:val="0"/>
        <w:autoSpaceDN w:val="0"/>
        <w:bidi w:val="0"/>
        <w:adjustRightInd/>
        <w:snapToGrid w:val="0"/>
        <w:spacing w:beforeAutospacing="0" w:after="0" w:afterAutospacing="0" w:line="336" w:lineRule="auto"/>
        <w:ind w:left="0" w:leftChars="0" w:right="0" w:rightChars="0" w:firstLine="737"/>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第十四条</w:t>
      </w:r>
      <w:r>
        <w:rPr>
          <w:rFonts w:hint="eastAsia" w:ascii="Times New Roman"/>
          <w:color w:val="auto"/>
          <w:sz w:val="32"/>
          <w:szCs w:val="32"/>
          <w:u w:val="none"/>
          <w:lang w:val="en-US" w:eastAsia="zh-CN"/>
        </w:rPr>
        <w:t xml:space="preserve"> 本细则由石岐街道相关部门参照执行，由石岐街道教体文旅局牵头会同发改局、工信局、城建局、财政分局负责解释。</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r>
        <w:rPr>
          <w:rFonts w:hint="eastAsia" w:ascii="黑体" w:hAnsi="黑体" w:eastAsia="黑体" w:cs="黑体"/>
          <w:color w:val="auto"/>
          <w:sz w:val="32"/>
          <w:szCs w:val="32"/>
          <w:u w:val="none"/>
          <w:lang w:val="en-US" w:eastAsia="zh-CN"/>
        </w:rPr>
        <w:t>第十五条</w:t>
      </w:r>
      <w:r>
        <w:rPr>
          <w:rFonts w:hint="eastAsia" w:ascii="Times New Roman"/>
          <w:color w:val="auto"/>
          <w:sz w:val="32"/>
          <w:szCs w:val="32"/>
          <w:u w:val="none"/>
          <w:lang w:val="en-US" w:eastAsia="zh-CN"/>
        </w:rPr>
        <w:t xml:space="preserve"> 本实施细则自印发之日起实施，有效期至2023年12月31日。</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jc w:val="both"/>
        <w:textAlignment w:val="auto"/>
        <w:outlineLvl w:val="9"/>
        <w:rPr>
          <w:rFonts w:hint="eastAsia" w:ascii="Times New Roman"/>
          <w:color w:val="auto"/>
          <w:sz w:val="32"/>
          <w:szCs w:val="32"/>
          <w:u w:val="none"/>
          <w:lang w:val="en-US" w:eastAsia="zh-CN"/>
        </w:rPr>
      </w:pP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firstLineChars="20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附件：</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left="640" w:leftChars="200" w:right="0" w:rightChars="0" w:firstLine="0" w:firstLineChars="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1.石岐街道企业人才子入读街道属公办学校累计积分指标及分值表</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firstLineChars="20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2.石岐街道企业人才子女入读街道属公办学校申请表</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36" w:lineRule="auto"/>
        <w:ind w:right="0" w:rightChars="0" w:firstLine="640" w:firstLineChars="200"/>
        <w:jc w:val="both"/>
        <w:textAlignment w:val="auto"/>
        <w:outlineLvl w:val="9"/>
        <w:rPr>
          <w:rFonts w:hint="eastAsia" w:ascii="Times New Roman"/>
          <w:color w:val="auto"/>
          <w:sz w:val="32"/>
          <w:szCs w:val="32"/>
          <w:u w:val="none"/>
          <w:lang w:val="en-US" w:eastAsia="zh-CN"/>
        </w:rPr>
      </w:pPr>
      <w:r>
        <w:rPr>
          <w:rFonts w:hint="eastAsia" w:ascii="Times New Roman"/>
          <w:color w:val="auto"/>
          <w:sz w:val="32"/>
          <w:szCs w:val="32"/>
          <w:u w:val="none"/>
          <w:lang w:val="en-US" w:eastAsia="zh-CN"/>
        </w:rPr>
        <w:t>3.石岐街道企业人才子入读街道属公办学校评分表</w:t>
      </w:r>
    </w:p>
    <w:sectPr>
      <w:footerReference r:id="rId3" w:type="default"/>
      <w:pgSz w:w="11906" w:h="16838"/>
      <w:pgMar w:top="2211" w:right="1531" w:bottom="1871" w:left="1531" w:header="851" w:footer="992"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5887720</wp:posOffset>
              </wp:positionH>
              <wp:positionV relativeFrom="page">
                <wp:posOffset>9917430</wp:posOffset>
              </wp:positionV>
              <wp:extent cx="596900" cy="236855"/>
              <wp:effectExtent l="0" t="0" r="0" b="0"/>
              <wp:wrapNone/>
              <wp:docPr id="6" name="文本框 1"/>
              <wp:cNvGraphicFramePr/>
              <a:graphic xmlns:a="http://schemas.openxmlformats.org/drawingml/2006/main">
                <a:graphicData uri="http://schemas.microsoft.com/office/word/2010/wordprocessingShape">
                  <wps:wsp>
                    <wps:cNvSpPr txBox="1"/>
                    <wps:spPr>
                      <a:xfrm>
                        <a:off x="0" y="0"/>
                        <a:ext cx="596900" cy="236855"/>
                      </a:xfrm>
                      <a:prstGeom prst="rect">
                        <a:avLst/>
                      </a:prstGeom>
                      <a:noFill/>
                      <a:ln>
                        <a:noFill/>
                      </a:ln>
                    </wps:spPr>
                    <wps:txbx>
                      <w:txbxContent>
                        <w:p>
                          <w:pPr>
                            <w:spacing w:before="7"/>
                            <w:ind w:left="20" w:right="0" w:firstLine="0"/>
                            <w:jc w:val="left"/>
                            <w:rPr>
                              <w:rFonts w:ascii="Times New Roman" w:hAnsi="Times New Roman"/>
                              <w:sz w:val="30"/>
                            </w:rPr>
                          </w:pPr>
                          <w:r>
                            <w:rPr>
                              <w:rFonts w:ascii="Times New Roman" w:hAnsi="Times New Roman"/>
                              <w:sz w:val="30"/>
                            </w:rPr>
                            <w:t xml:space="preserve">— </w:t>
                          </w:r>
                          <w:r>
                            <w:fldChar w:fldCharType="begin"/>
                          </w:r>
                          <w:r>
                            <w:rPr>
                              <w:rFonts w:ascii="Times New Roman" w:hAnsi="Times New Roman"/>
                              <w:sz w:val="30"/>
                            </w:rPr>
                            <w:instrText xml:space="preserve"> PAGE </w:instrText>
                          </w:r>
                          <w:r>
                            <w:fldChar w:fldCharType="separate"/>
                          </w:r>
                          <w:r>
                            <w:t>1</w:t>
                          </w:r>
                          <w:r>
                            <w:fldChar w:fldCharType="end"/>
                          </w:r>
                          <w:r>
                            <w:rPr>
                              <w:rFonts w:ascii="Times New Roman" w:hAnsi="Times New Roman"/>
                              <w:sz w:val="30"/>
                            </w:rPr>
                            <w:t xml:space="preserve"> —</w:t>
                          </w:r>
                        </w:p>
                      </w:txbxContent>
                    </wps:txbx>
                    <wps:bodyPr lIns="0" tIns="0" rIns="0" bIns="0" upright="1"/>
                  </wps:wsp>
                </a:graphicData>
              </a:graphic>
            </wp:anchor>
          </w:drawing>
        </mc:Choice>
        <mc:Fallback>
          <w:pict>
            <v:shape id="文本框 1" o:spid="_x0000_s1026" o:spt="202" type="#_x0000_t202" style="position:absolute;left:0pt;margin-left:463.6pt;margin-top:780.9pt;height:18.65pt;width:47pt;mso-position-horizontal-relative:page;mso-position-vertical-relative:page;z-index:-251657216;mso-width-relative:page;mso-height-relative:page;" filled="f" stroked="f" coordsize="21600,21600" o:gfxdata="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y1yAnZAAAADgEAAA8AAAAAAAAAAQAgAAAAIgAAAGRycy9kb3ducmV2LnhtbFBLAQIU&#10;ABQAAAAIAIdO4kARJBHHuQEAAHEDAAAOAAAAAAAAAAEAIAAAACgBAABkcnMvZTJvRG9jLnhtbFBL&#10;BQYAAAAABgAGAFkBAABTBQAAAAA=&#10;">
              <v:fill on="f" focussize="0,0"/>
              <v:stroke on="f"/>
              <v:imagedata o:title=""/>
              <o:lock v:ext="edit" aspectratio="f"/>
              <v:textbox inset="0mm,0mm,0mm,0mm">
                <w:txbxContent>
                  <w:p>
                    <w:pPr>
                      <w:spacing w:before="7"/>
                      <w:ind w:left="20" w:right="0" w:firstLine="0"/>
                      <w:jc w:val="left"/>
                      <w:rPr>
                        <w:rFonts w:ascii="Times New Roman" w:hAnsi="Times New Roman"/>
                        <w:sz w:val="30"/>
                      </w:rPr>
                    </w:pPr>
                    <w:r>
                      <w:rPr>
                        <w:rFonts w:ascii="Times New Roman" w:hAnsi="Times New Roman"/>
                        <w:sz w:val="30"/>
                      </w:rPr>
                      <w:t xml:space="preserve">— </w:t>
                    </w:r>
                    <w:r>
                      <w:fldChar w:fldCharType="begin"/>
                    </w:r>
                    <w:r>
                      <w:rPr>
                        <w:rFonts w:ascii="Times New Roman" w:hAnsi="Times New Roman"/>
                        <w:sz w:val="30"/>
                      </w:rPr>
                      <w:instrText xml:space="preserve"> PAGE </w:instrText>
                    </w:r>
                    <w:r>
                      <w:fldChar w:fldCharType="separate"/>
                    </w:r>
                    <w:r>
                      <w:t>1</w:t>
                    </w:r>
                    <w:r>
                      <w:fldChar w:fldCharType="end"/>
                    </w:r>
                    <w:r>
                      <w:rPr>
                        <w:rFonts w:ascii="Times New Roman" w:hAnsi="Times New Roman"/>
                        <w:sz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226D4"/>
    <w:rsid w:val="009D248F"/>
    <w:rsid w:val="011027CE"/>
    <w:rsid w:val="01536F10"/>
    <w:rsid w:val="02653FF9"/>
    <w:rsid w:val="02AE56F2"/>
    <w:rsid w:val="02CE502D"/>
    <w:rsid w:val="04245C45"/>
    <w:rsid w:val="04582B0A"/>
    <w:rsid w:val="050C4184"/>
    <w:rsid w:val="05430928"/>
    <w:rsid w:val="054A633B"/>
    <w:rsid w:val="05AA7659"/>
    <w:rsid w:val="063362B9"/>
    <w:rsid w:val="072B5959"/>
    <w:rsid w:val="07724A47"/>
    <w:rsid w:val="07963981"/>
    <w:rsid w:val="07A10A6D"/>
    <w:rsid w:val="086C20BA"/>
    <w:rsid w:val="08E568BC"/>
    <w:rsid w:val="090107A8"/>
    <w:rsid w:val="09590295"/>
    <w:rsid w:val="09C43F96"/>
    <w:rsid w:val="0A336573"/>
    <w:rsid w:val="0B1835C3"/>
    <w:rsid w:val="0D0C3DB5"/>
    <w:rsid w:val="0EA77882"/>
    <w:rsid w:val="0F56103F"/>
    <w:rsid w:val="0FDD694F"/>
    <w:rsid w:val="109E1228"/>
    <w:rsid w:val="10C2608D"/>
    <w:rsid w:val="11FA5CD0"/>
    <w:rsid w:val="132D660A"/>
    <w:rsid w:val="1430122C"/>
    <w:rsid w:val="14562ED4"/>
    <w:rsid w:val="14784494"/>
    <w:rsid w:val="156A6F22"/>
    <w:rsid w:val="15887CA8"/>
    <w:rsid w:val="16981D6E"/>
    <w:rsid w:val="16BC44B0"/>
    <w:rsid w:val="17EF7DDE"/>
    <w:rsid w:val="1A5B6C04"/>
    <w:rsid w:val="1A877692"/>
    <w:rsid w:val="1BA0668A"/>
    <w:rsid w:val="1D195730"/>
    <w:rsid w:val="1D1D05D0"/>
    <w:rsid w:val="1D965E13"/>
    <w:rsid w:val="1D9A6590"/>
    <w:rsid w:val="1E576DA7"/>
    <w:rsid w:val="1E9F5249"/>
    <w:rsid w:val="1EBA4D04"/>
    <w:rsid w:val="1EEA3645"/>
    <w:rsid w:val="1F5226D4"/>
    <w:rsid w:val="1FE05B09"/>
    <w:rsid w:val="20341E81"/>
    <w:rsid w:val="207B12D7"/>
    <w:rsid w:val="20F95428"/>
    <w:rsid w:val="23462A6F"/>
    <w:rsid w:val="238D53E2"/>
    <w:rsid w:val="24617981"/>
    <w:rsid w:val="247B36C5"/>
    <w:rsid w:val="24823017"/>
    <w:rsid w:val="25226453"/>
    <w:rsid w:val="25975B8E"/>
    <w:rsid w:val="25CE7408"/>
    <w:rsid w:val="25D85A48"/>
    <w:rsid w:val="25FC6722"/>
    <w:rsid w:val="261C4796"/>
    <w:rsid w:val="26E07D57"/>
    <w:rsid w:val="271A366B"/>
    <w:rsid w:val="27746F46"/>
    <w:rsid w:val="29582787"/>
    <w:rsid w:val="297B4CD1"/>
    <w:rsid w:val="29916BB0"/>
    <w:rsid w:val="2A1519DE"/>
    <w:rsid w:val="2AF00502"/>
    <w:rsid w:val="2B1206B6"/>
    <w:rsid w:val="2B4F7B20"/>
    <w:rsid w:val="2BA84F12"/>
    <w:rsid w:val="2BB01839"/>
    <w:rsid w:val="2C3D01A4"/>
    <w:rsid w:val="2D3B2645"/>
    <w:rsid w:val="2EC21FC1"/>
    <w:rsid w:val="2F1269C8"/>
    <w:rsid w:val="2FF370E3"/>
    <w:rsid w:val="30444CD7"/>
    <w:rsid w:val="308C054E"/>
    <w:rsid w:val="314325E0"/>
    <w:rsid w:val="3152277A"/>
    <w:rsid w:val="31EB1674"/>
    <w:rsid w:val="321066D4"/>
    <w:rsid w:val="32A91F0D"/>
    <w:rsid w:val="336B086B"/>
    <w:rsid w:val="34203812"/>
    <w:rsid w:val="347F50CC"/>
    <w:rsid w:val="34AD46FA"/>
    <w:rsid w:val="34BE7947"/>
    <w:rsid w:val="351A66B4"/>
    <w:rsid w:val="3541716C"/>
    <w:rsid w:val="354229F0"/>
    <w:rsid w:val="36841335"/>
    <w:rsid w:val="36C108E2"/>
    <w:rsid w:val="37E706C5"/>
    <w:rsid w:val="388C0552"/>
    <w:rsid w:val="38FE7423"/>
    <w:rsid w:val="396A5851"/>
    <w:rsid w:val="39D00701"/>
    <w:rsid w:val="3A2071E9"/>
    <w:rsid w:val="3AAD53C4"/>
    <w:rsid w:val="3BD42E4E"/>
    <w:rsid w:val="3C064FF8"/>
    <w:rsid w:val="3C122D1E"/>
    <w:rsid w:val="3DB90AD0"/>
    <w:rsid w:val="3DEC1F59"/>
    <w:rsid w:val="3E430583"/>
    <w:rsid w:val="3E544DB3"/>
    <w:rsid w:val="3E645686"/>
    <w:rsid w:val="3EFC23E1"/>
    <w:rsid w:val="3FBC476E"/>
    <w:rsid w:val="40004388"/>
    <w:rsid w:val="403F48E6"/>
    <w:rsid w:val="405C15E8"/>
    <w:rsid w:val="41DA73E9"/>
    <w:rsid w:val="41E002D6"/>
    <w:rsid w:val="420605A3"/>
    <w:rsid w:val="422F6F3C"/>
    <w:rsid w:val="4237421C"/>
    <w:rsid w:val="42B61283"/>
    <w:rsid w:val="43235AA2"/>
    <w:rsid w:val="436832A5"/>
    <w:rsid w:val="44C44E3D"/>
    <w:rsid w:val="44F65BF3"/>
    <w:rsid w:val="45412B2B"/>
    <w:rsid w:val="464E5266"/>
    <w:rsid w:val="4662350C"/>
    <w:rsid w:val="46E35C58"/>
    <w:rsid w:val="47C96BF0"/>
    <w:rsid w:val="48096A31"/>
    <w:rsid w:val="480B6FC4"/>
    <w:rsid w:val="48E04600"/>
    <w:rsid w:val="49202B06"/>
    <w:rsid w:val="49E05FB4"/>
    <w:rsid w:val="4A811F5F"/>
    <w:rsid w:val="4AD56CD4"/>
    <w:rsid w:val="4B7C2965"/>
    <w:rsid w:val="4B88742D"/>
    <w:rsid w:val="4C7E128E"/>
    <w:rsid w:val="4C89761F"/>
    <w:rsid w:val="4D206B36"/>
    <w:rsid w:val="4D3E28DC"/>
    <w:rsid w:val="4DC67027"/>
    <w:rsid w:val="4ED82367"/>
    <w:rsid w:val="4EE31DBF"/>
    <w:rsid w:val="4F336227"/>
    <w:rsid w:val="528817F3"/>
    <w:rsid w:val="53746E0E"/>
    <w:rsid w:val="53A803F8"/>
    <w:rsid w:val="54411E49"/>
    <w:rsid w:val="547B205D"/>
    <w:rsid w:val="54930C7E"/>
    <w:rsid w:val="54A16EE9"/>
    <w:rsid w:val="550057B2"/>
    <w:rsid w:val="5569512F"/>
    <w:rsid w:val="56E53ED5"/>
    <w:rsid w:val="57070066"/>
    <w:rsid w:val="5747089A"/>
    <w:rsid w:val="57616117"/>
    <w:rsid w:val="57616A3C"/>
    <w:rsid w:val="57F13854"/>
    <w:rsid w:val="57FD1FBC"/>
    <w:rsid w:val="58161BB5"/>
    <w:rsid w:val="5875604E"/>
    <w:rsid w:val="592204C6"/>
    <w:rsid w:val="59C35017"/>
    <w:rsid w:val="59FD5EB2"/>
    <w:rsid w:val="5AFC1C39"/>
    <w:rsid w:val="5B6B6089"/>
    <w:rsid w:val="5D086DAF"/>
    <w:rsid w:val="5D120641"/>
    <w:rsid w:val="5D4774E3"/>
    <w:rsid w:val="5DAC64F5"/>
    <w:rsid w:val="5DD34007"/>
    <w:rsid w:val="5EE11EB8"/>
    <w:rsid w:val="5F3B6A32"/>
    <w:rsid w:val="5F9730E2"/>
    <w:rsid w:val="5FB70C17"/>
    <w:rsid w:val="5FD37FCD"/>
    <w:rsid w:val="61204D0A"/>
    <w:rsid w:val="618D7518"/>
    <w:rsid w:val="61E16FA2"/>
    <w:rsid w:val="61E4370F"/>
    <w:rsid w:val="624D69DA"/>
    <w:rsid w:val="62E462F5"/>
    <w:rsid w:val="634A47EC"/>
    <w:rsid w:val="63FF12A2"/>
    <w:rsid w:val="65E211DB"/>
    <w:rsid w:val="66437557"/>
    <w:rsid w:val="66EC4990"/>
    <w:rsid w:val="67393CF3"/>
    <w:rsid w:val="673E1DF8"/>
    <w:rsid w:val="67472C36"/>
    <w:rsid w:val="676168DB"/>
    <w:rsid w:val="67F41921"/>
    <w:rsid w:val="683B3E0E"/>
    <w:rsid w:val="68721D6A"/>
    <w:rsid w:val="687A1374"/>
    <w:rsid w:val="687E3749"/>
    <w:rsid w:val="6909610A"/>
    <w:rsid w:val="691724F7"/>
    <w:rsid w:val="693010F4"/>
    <w:rsid w:val="6AA24719"/>
    <w:rsid w:val="6CBA168A"/>
    <w:rsid w:val="6D614100"/>
    <w:rsid w:val="6E0C2B47"/>
    <w:rsid w:val="6E882E87"/>
    <w:rsid w:val="6EA10310"/>
    <w:rsid w:val="6F3A3EA2"/>
    <w:rsid w:val="6FB24B47"/>
    <w:rsid w:val="7004098D"/>
    <w:rsid w:val="708F3AA3"/>
    <w:rsid w:val="70FA459C"/>
    <w:rsid w:val="714B0125"/>
    <w:rsid w:val="71BC50F2"/>
    <w:rsid w:val="7206386B"/>
    <w:rsid w:val="72BA5B47"/>
    <w:rsid w:val="737E1108"/>
    <w:rsid w:val="73D832EA"/>
    <w:rsid w:val="741713C4"/>
    <w:rsid w:val="74CC447A"/>
    <w:rsid w:val="74D93943"/>
    <w:rsid w:val="74E8407F"/>
    <w:rsid w:val="755E3B87"/>
    <w:rsid w:val="764D12A6"/>
    <w:rsid w:val="767201E1"/>
    <w:rsid w:val="76D87AC2"/>
    <w:rsid w:val="775B6E00"/>
    <w:rsid w:val="77BA39FB"/>
    <w:rsid w:val="78614E23"/>
    <w:rsid w:val="788569AE"/>
    <w:rsid w:val="788F6D71"/>
    <w:rsid w:val="78986383"/>
    <w:rsid w:val="792E01E7"/>
    <w:rsid w:val="794762A8"/>
    <w:rsid w:val="796F2111"/>
    <w:rsid w:val="7AF41814"/>
    <w:rsid w:val="7B551FE8"/>
    <w:rsid w:val="7B6E286A"/>
    <w:rsid w:val="7C001318"/>
    <w:rsid w:val="7C0D2592"/>
    <w:rsid w:val="7C880156"/>
    <w:rsid w:val="7D663384"/>
    <w:rsid w:val="7E1C6E5F"/>
    <w:rsid w:val="7E923043"/>
    <w:rsid w:val="7EC107D5"/>
    <w:rsid w:val="7EC85D8C"/>
    <w:rsid w:val="7ED71619"/>
    <w:rsid w:val="7EE57DD7"/>
    <w:rsid w:val="7F56446B"/>
    <w:rsid w:val="7FB2700E"/>
    <w:rsid w:val="7FEE4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link w:val="19"/>
    <w:qFormat/>
    <w:uiPriority w:val="0"/>
    <w:pPr>
      <w:adjustRightInd w:val="0"/>
      <w:snapToGrid w:val="0"/>
      <w:spacing w:line="574" w:lineRule="exact"/>
      <w:ind w:left="0" w:leftChars="0" w:firstLine="400" w:firstLineChars="200"/>
      <w:outlineLvl w:val="0"/>
    </w:pPr>
    <w:rPr>
      <w:rFonts w:ascii="Times New Roman" w:hAnsi="Times New Roman" w:eastAsia="黑体" w:cs="Microsoft JhengHei"/>
      <w:szCs w:val="32"/>
      <w:lang w:val="zh-CN" w:bidi="zh-CN"/>
    </w:rPr>
  </w:style>
  <w:style w:type="paragraph" w:styleId="4">
    <w:name w:val="heading 2"/>
    <w:basedOn w:val="1"/>
    <w:next w:val="1"/>
    <w:unhideWhenUsed/>
    <w:qFormat/>
    <w:uiPriority w:val="0"/>
    <w:pPr>
      <w:keepNext/>
      <w:keepLines/>
      <w:adjustRightInd w:val="0"/>
      <w:snapToGrid w:val="0"/>
      <w:spacing w:beforeLines="0" w:beforeAutospacing="0" w:afterLines="0" w:afterAutospacing="0" w:line="574" w:lineRule="exact"/>
      <w:outlineLvl w:val="1"/>
    </w:pPr>
    <w:rPr>
      <w:rFonts w:ascii="Times New Roman" w:hAnsi="Times New Roman" w:eastAsia="楷体" w:cs="仿宋_GB2312"/>
      <w:sz w:val="32"/>
      <w:szCs w:val="22"/>
      <w:lang w:val="zh-CN" w:bidi="zh-CN"/>
    </w:rPr>
  </w:style>
  <w:style w:type="paragraph" w:styleId="5">
    <w:name w:val="heading 3"/>
    <w:basedOn w:val="1"/>
    <w:next w:val="1"/>
    <w:unhideWhenUsed/>
    <w:qFormat/>
    <w:uiPriority w:val="0"/>
    <w:pPr>
      <w:keepNext/>
      <w:keepLines/>
      <w:adjustRightInd w:val="0"/>
      <w:snapToGrid w:val="0"/>
      <w:spacing w:beforeLines="0" w:beforeAutospacing="0" w:afterLines="0" w:afterAutospacing="0" w:line="574" w:lineRule="exact"/>
      <w:ind w:firstLine="400" w:firstLineChars="200"/>
      <w:outlineLvl w:val="2"/>
    </w:pPr>
    <w:rPr>
      <w:rFonts w:ascii="Times New Roman" w:hAnsi="Times New Roman" w:cs="仿宋_GB2312"/>
      <w:sz w:val="32"/>
      <w:szCs w:val="22"/>
      <w:lang w:val="zh-CN" w:bidi="zh-CN"/>
    </w:rPr>
  </w:style>
  <w:style w:type="paragraph" w:styleId="6">
    <w:name w:val="heading 4"/>
    <w:basedOn w:val="1"/>
    <w:next w:val="1"/>
    <w:unhideWhenUsed/>
    <w:qFormat/>
    <w:uiPriority w:val="0"/>
    <w:pPr>
      <w:keepNext/>
      <w:keepLines/>
      <w:spacing w:before="280" w:after="290" w:line="376" w:lineRule="atLeast"/>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0"/>
    <w:pPr>
      <w:widowControl/>
      <w:jc w:val="both"/>
    </w:pPr>
    <w:rPr>
      <w:rFonts w:cs="宋体"/>
      <w:color w:val="000000"/>
      <w:kern w:val="0"/>
      <w:szCs w:val="20"/>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next w:val="9"/>
    <w:qFormat/>
    <w:uiPriority w:val="0"/>
    <w:pPr>
      <w:spacing w:after="120"/>
    </w:pPr>
    <w:rPr>
      <w:rFonts w:ascii="Calibri" w:hAnsi="Calibri" w:eastAsia="宋体" w:cs="Times New Roman"/>
    </w:rPr>
  </w:style>
  <w:style w:type="paragraph" w:styleId="9">
    <w:name w:val="toc 5"/>
    <w:basedOn w:val="1"/>
    <w:next w:val="1"/>
    <w:qFormat/>
    <w:uiPriority w:val="0"/>
    <w:pPr>
      <w:ind w:left="1680"/>
    </w:pPr>
  </w:style>
  <w:style w:type="paragraph" w:styleId="10">
    <w:name w:val="Body Text Indent"/>
    <w:basedOn w:val="1"/>
    <w:qFormat/>
    <w:uiPriority w:val="0"/>
    <w:pPr>
      <w:widowControl/>
      <w:spacing w:beforeAutospacing="1" w:afterAutospacing="1"/>
      <w:jc w:val="left"/>
    </w:pPr>
    <w:rPr>
      <w:rFonts w:ascii="宋体" w:hAnsi="宋体"/>
      <w:kern w:val="0"/>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10"/>
    <w:qFormat/>
    <w:uiPriority w:val="0"/>
    <w:pPr>
      <w:spacing w:after="120"/>
      <w:ind w:left="420" w:leftChars="200" w:firstLine="420" w:firstLineChars="200"/>
    </w:pPr>
    <w:rPr>
      <w:sz w:val="21"/>
    </w:rPr>
  </w:style>
  <w:style w:type="character" w:styleId="18">
    <w:name w:val="Strong"/>
    <w:basedOn w:val="17"/>
    <w:qFormat/>
    <w:uiPriority w:val="0"/>
    <w:rPr>
      <w:b/>
    </w:rPr>
  </w:style>
  <w:style w:type="character" w:customStyle="1" w:styleId="19">
    <w:name w:val="标题 1 Char"/>
    <w:basedOn w:val="17"/>
    <w:link w:val="3"/>
    <w:qFormat/>
    <w:uiPriority w:val="0"/>
    <w:rPr>
      <w:rFonts w:hint="default" w:ascii="Times New Roman" w:hAnsi="Times New Roman" w:eastAsia="黑体" w:cs="Microsoft JhengHei"/>
      <w:b/>
      <w:kern w:val="44"/>
      <w:sz w:val="32"/>
      <w:szCs w:val="21"/>
      <w:lang w:val="zh-CN" w:bidi="zh-CN"/>
    </w:rPr>
  </w:style>
  <w:style w:type="character" w:customStyle="1" w:styleId="20">
    <w:name w:val="NormalCharacter"/>
    <w:basedOn w:val="17"/>
    <w:qFormat/>
    <w:uiPriority w:val="0"/>
  </w:style>
  <w:style w:type="paragraph" w:customStyle="1" w:styleId="21">
    <w:name w:val="Normal Indent1"/>
    <w:basedOn w:val="1"/>
    <w:qFormat/>
    <w:uiPriority w:val="0"/>
    <w:pPr>
      <w:ind w:firstLine="420" w:firstLineChars="200"/>
    </w:pPr>
  </w:style>
  <w:style w:type="paragraph" w:customStyle="1" w:styleId="22">
    <w:name w:val="List Paragraph"/>
    <w:basedOn w:val="1"/>
    <w:qFormat/>
    <w:uiPriority w:val="1"/>
    <w:pPr>
      <w:ind w:left="111" w:firstLine="64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2021-04-19T08:40:00Z</dcterms:created>
  <dc:creator>小怪兽桔</dc:creator>
  <cp:lastModifiedBy>吴理坤</cp:lastModifiedBy>
  <cp:lastPrinted>2022-04-21T03:02:00Z</cp:lastPrinted>
  <dcterms:modified xsi:type="dcterms:W3CDTF">2023-03-06T08:34:32Z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97B49AD8FFA94F0E924B086F268938B5</vt:lpwstr>
  </property>
</Properties>
</file>