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color w:val="auto"/>
          <w:sz w:val="30"/>
          <w:lang w:eastAsia="zh-CN"/>
        </w:rPr>
      </w:pPr>
      <w:bookmarkStart w:id="0" w:name="_Toc24724716"/>
      <w:r>
        <w:rPr>
          <w:rFonts w:hint="eastAsia" w:ascii="方正小标宋_GBK" w:hAnsi="方正小标宋_GBK" w:eastAsia="方正小标宋_GBK"/>
          <w:b w:val="0"/>
          <w:bCs w:val="0"/>
          <w:color w:val="auto"/>
          <w:sz w:val="30"/>
          <w:lang w:eastAsia="zh-CN"/>
        </w:rPr>
        <w:t>板芙镇生态环境领域基层政务公开标准目录</w:t>
      </w:r>
      <w:bookmarkEnd w:id="0"/>
    </w:p>
    <w:tbl>
      <w:tblPr>
        <w:tblStyle w:val="6"/>
        <w:tblW w:w="13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888"/>
        <w:gridCol w:w="817"/>
        <w:gridCol w:w="1906"/>
        <w:gridCol w:w="2356"/>
        <w:gridCol w:w="1413"/>
        <w:gridCol w:w="628"/>
        <w:gridCol w:w="1413"/>
        <w:gridCol w:w="628"/>
        <w:gridCol w:w="618"/>
        <w:gridCol w:w="481"/>
        <w:gridCol w:w="628"/>
        <w:gridCol w:w="628"/>
        <w:gridCol w:w="628"/>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05"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0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5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3"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28"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3"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6"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0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56"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c>
          <w:tcPr>
            <w:tcW w:w="1"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2295" w:hRule="atLeast"/>
          <w:jc w:val="center"/>
        </w:trPr>
        <w:tc>
          <w:tcPr>
            <w:tcW w:w="471" w:type="dxa"/>
            <w:vMerge w:val="continue"/>
            <w:noWrap w:val="0"/>
            <w:vAlign w:val="center"/>
          </w:tcPr>
          <w:p>
            <w:pPr>
              <w:widowControl/>
              <w:jc w:val="left"/>
              <w:rPr>
                <w:rFonts w:ascii="Times New Roman" w:hAnsi="Times New Roman"/>
                <w:color w:val="000000"/>
                <w:kern w:val="0"/>
                <w:sz w:val="22"/>
              </w:rPr>
            </w:pPr>
          </w:p>
        </w:tc>
        <w:tc>
          <w:tcPr>
            <w:tcW w:w="888" w:type="dxa"/>
            <w:noWrap w:val="0"/>
            <w:vAlign w:val="center"/>
          </w:tcPr>
          <w:p>
            <w:pPr>
              <w:widowControl/>
              <w:jc w:val="center"/>
              <w:rPr>
                <w:rFonts w:hint="eastAsia" w:ascii="黑体" w:hAnsi="宋体" w:eastAsia="黑体" w:cs="宋体"/>
                <w:color w:val="auto"/>
                <w:kern w:val="0"/>
                <w:sz w:val="22"/>
              </w:rPr>
            </w:pPr>
            <w:r>
              <w:rPr>
                <w:rFonts w:hint="eastAsia" w:ascii="黑体" w:hAnsi="宋体" w:eastAsia="黑体" w:cs="宋体"/>
                <w:color w:val="auto"/>
                <w:kern w:val="0"/>
                <w:sz w:val="22"/>
              </w:rPr>
              <w:t>一级</w:t>
            </w:r>
          </w:p>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事项</w:t>
            </w:r>
          </w:p>
        </w:tc>
        <w:tc>
          <w:tcPr>
            <w:tcW w:w="817" w:type="dxa"/>
            <w:noWrap w:val="0"/>
            <w:vAlign w:val="center"/>
          </w:tcPr>
          <w:p>
            <w:pPr>
              <w:widowControl/>
              <w:jc w:val="center"/>
              <w:rPr>
                <w:rFonts w:hint="eastAsia" w:ascii="黑体" w:hAnsi="宋体" w:eastAsia="黑体" w:cs="宋体"/>
                <w:color w:val="auto"/>
                <w:kern w:val="0"/>
                <w:sz w:val="22"/>
                <w:lang w:eastAsia="zh-CN"/>
              </w:rPr>
            </w:pPr>
            <w:r>
              <w:rPr>
                <w:rFonts w:hint="eastAsia" w:ascii="黑体" w:hAnsi="宋体" w:eastAsia="黑体" w:cs="宋体"/>
                <w:color w:val="auto"/>
                <w:kern w:val="0"/>
                <w:sz w:val="22"/>
              </w:rPr>
              <w:t>二级事项</w:t>
            </w:r>
          </w:p>
        </w:tc>
        <w:tc>
          <w:tcPr>
            <w:tcW w:w="1906" w:type="dxa"/>
            <w:vMerge w:val="continue"/>
            <w:noWrap w:val="0"/>
            <w:vAlign w:val="center"/>
          </w:tcPr>
          <w:p>
            <w:pPr>
              <w:widowControl/>
              <w:jc w:val="left"/>
              <w:rPr>
                <w:rFonts w:ascii="黑体" w:hAnsi="宋体" w:eastAsia="黑体" w:cs="宋体"/>
                <w:color w:val="000000"/>
                <w:kern w:val="0"/>
                <w:sz w:val="22"/>
              </w:rPr>
            </w:pPr>
          </w:p>
        </w:tc>
        <w:tc>
          <w:tcPr>
            <w:tcW w:w="2356" w:type="dxa"/>
            <w:vMerge w:val="continue"/>
            <w:noWrap w:val="0"/>
            <w:vAlign w:val="center"/>
          </w:tcPr>
          <w:p>
            <w:pPr>
              <w:widowControl/>
              <w:jc w:val="left"/>
              <w:rPr>
                <w:rFonts w:ascii="黑体" w:hAnsi="宋体" w:eastAsia="黑体" w:cs="宋体"/>
                <w:color w:val="000000"/>
                <w:kern w:val="0"/>
                <w:sz w:val="22"/>
              </w:rPr>
            </w:pPr>
          </w:p>
        </w:tc>
        <w:tc>
          <w:tcPr>
            <w:tcW w:w="1413" w:type="dxa"/>
            <w:vMerge w:val="continue"/>
            <w:noWrap w:val="0"/>
            <w:vAlign w:val="center"/>
          </w:tcPr>
          <w:p>
            <w:pPr>
              <w:widowControl/>
              <w:jc w:val="left"/>
              <w:rPr>
                <w:rFonts w:ascii="黑体" w:hAnsi="宋体" w:eastAsia="黑体" w:cs="宋体"/>
                <w:color w:val="000000"/>
                <w:kern w:val="0"/>
                <w:sz w:val="22"/>
              </w:rPr>
            </w:pPr>
          </w:p>
        </w:tc>
        <w:tc>
          <w:tcPr>
            <w:tcW w:w="628" w:type="dxa"/>
            <w:vMerge w:val="continue"/>
            <w:noWrap w:val="0"/>
            <w:vAlign w:val="center"/>
          </w:tcPr>
          <w:p>
            <w:pPr>
              <w:widowControl/>
              <w:jc w:val="left"/>
              <w:rPr>
                <w:rFonts w:ascii="黑体" w:hAnsi="宋体" w:eastAsia="黑体" w:cs="宋体"/>
                <w:color w:val="000000"/>
                <w:kern w:val="0"/>
                <w:sz w:val="22"/>
              </w:rPr>
            </w:pPr>
          </w:p>
        </w:tc>
        <w:tc>
          <w:tcPr>
            <w:tcW w:w="1413" w:type="dxa"/>
            <w:vMerge w:val="continue"/>
            <w:noWrap w:val="0"/>
            <w:vAlign w:val="center"/>
          </w:tcPr>
          <w:p>
            <w:pPr>
              <w:widowControl/>
              <w:jc w:val="left"/>
              <w:rPr>
                <w:rFonts w:ascii="黑体" w:hAnsi="宋体" w:eastAsia="黑体" w:cs="宋体"/>
                <w:kern w:val="0"/>
                <w:sz w:val="22"/>
              </w:rPr>
            </w:pPr>
          </w:p>
        </w:tc>
        <w:tc>
          <w:tcPr>
            <w:tcW w:w="62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1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8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2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2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2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1</w:t>
            </w:r>
          </w:p>
        </w:tc>
        <w:tc>
          <w:tcPr>
            <w:tcW w:w="888" w:type="dxa"/>
            <w:vMerge w:val="restart"/>
            <w:noWrap w:val="0"/>
            <w:vAlign w:val="center"/>
          </w:tcPr>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w:t>
            </w:r>
            <w:r>
              <w:rPr>
                <w:rFonts w:ascii="仿宋_GB2312" w:hAnsi="宋体" w:eastAsia="仿宋_GB2312"/>
                <w:color w:val="000000"/>
                <w:sz w:val="18"/>
                <w:szCs w:val="18"/>
                <w:highlight w:val="none"/>
              </w:rPr>
              <w:br w:type="textWrapping"/>
            </w:r>
            <w:r>
              <w:rPr>
                <w:rFonts w:ascii="仿宋_GB2312" w:hAnsi="宋体" w:eastAsia="仿宋_GB2312"/>
                <w:color w:val="000000"/>
                <w:sz w:val="18"/>
                <w:szCs w:val="18"/>
                <w:highlight w:val="none"/>
              </w:rPr>
              <w:t>许可</w:t>
            </w:r>
          </w:p>
          <w:p>
            <w:pPr>
              <w:adjustRightInd w:val="0"/>
              <w:snapToGrid w:val="0"/>
              <w:jc w:val="center"/>
              <w:rPr>
                <w:rFonts w:hint="eastAsia" w:ascii="仿宋_GB2312" w:hAnsi="宋体" w:eastAsia="仿宋_GB2312"/>
                <w:color w:val="000000"/>
                <w:sz w:val="18"/>
                <w:szCs w:val="18"/>
                <w:highlight w:val="none"/>
                <w:lang w:eastAsia="zh-CN"/>
              </w:rPr>
            </w:pPr>
          </w:p>
          <w:p>
            <w:pPr>
              <w:adjustRightInd w:val="0"/>
              <w:snapToGrid w:val="0"/>
              <w:jc w:val="center"/>
              <w:rPr>
                <w:rFonts w:hint="eastAsia"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建设项目环境影响评价文件审批</w:t>
            </w:r>
          </w:p>
        </w:tc>
        <w:tc>
          <w:tcPr>
            <w:tcW w:w="1906" w:type="dxa"/>
            <w:noWrap w:val="0"/>
            <w:vAlign w:val="center"/>
          </w:tcPr>
          <w:p>
            <w:pPr>
              <w:pStyle w:val="8"/>
              <w:adjustRightInd w:val="0"/>
              <w:snapToGrid w:val="0"/>
              <w:ind w:firstLine="0" w:firstLineChars="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受理环节：受理情况公示、</w:t>
            </w:r>
            <w:r>
              <w:rPr>
                <w:rFonts w:ascii="仿宋_GB2312" w:hAnsi="宋体" w:eastAsia="仿宋_GB2312"/>
                <w:color w:val="000000"/>
                <w:sz w:val="18"/>
                <w:szCs w:val="18"/>
                <w:highlight w:val="none"/>
              </w:rPr>
              <w:t>报告书（</w:t>
            </w:r>
            <w:r>
              <w:rPr>
                <w:rFonts w:hint="eastAsia" w:ascii="仿宋_GB2312" w:hAnsi="宋体" w:eastAsia="仿宋_GB2312"/>
                <w:color w:val="000000"/>
                <w:sz w:val="18"/>
                <w:szCs w:val="18"/>
                <w:highlight w:val="none"/>
              </w:rPr>
              <w:t>表</w:t>
            </w:r>
            <w:r>
              <w:rPr>
                <w:rFonts w:ascii="仿宋_GB2312" w:hAnsi="宋体" w:eastAsia="仿宋_GB2312"/>
                <w:color w:val="000000"/>
                <w:sz w:val="18"/>
                <w:szCs w:val="18"/>
                <w:highlight w:val="none"/>
              </w:rPr>
              <w:t>）</w:t>
            </w:r>
            <w:r>
              <w:rPr>
                <w:rFonts w:hint="eastAsia" w:ascii="仿宋_GB2312" w:hAnsi="宋体" w:eastAsia="仿宋_GB2312"/>
                <w:color w:val="000000"/>
                <w:sz w:val="18"/>
                <w:szCs w:val="18"/>
                <w:highlight w:val="none"/>
              </w:rPr>
              <w:t>全本；拟决定环节：拟审查</w:t>
            </w:r>
            <w:r>
              <w:rPr>
                <w:rFonts w:ascii="仿宋_GB2312" w:hAnsi="宋体" w:eastAsia="仿宋_GB2312"/>
                <w:color w:val="000000"/>
                <w:sz w:val="18"/>
                <w:szCs w:val="18"/>
                <w:highlight w:val="none"/>
              </w:rPr>
              <w:t>环评文件基本情况公示</w:t>
            </w:r>
            <w:r>
              <w:rPr>
                <w:rFonts w:hint="eastAsia" w:ascii="仿宋_GB2312" w:hAnsi="宋体" w:eastAsia="仿宋_GB2312"/>
                <w:color w:val="000000"/>
                <w:sz w:val="18"/>
                <w:szCs w:val="18"/>
                <w:highlight w:val="none"/>
              </w:rPr>
              <w:t>；决定环节：环评批复</w:t>
            </w:r>
          </w:p>
        </w:tc>
        <w:tc>
          <w:tcPr>
            <w:tcW w:w="2356"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lang w:val="en-US" w:eastAsia="zh-CN"/>
              </w:rPr>
              <w:t>《中华人民共和国行政许可法》、</w:t>
            </w:r>
            <w:r>
              <w:rPr>
                <w:rFonts w:hint="eastAsia" w:ascii="仿宋_GB2312" w:hAnsi="宋体" w:eastAsia="仿宋_GB2312"/>
                <w:color w:val="000000"/>
                <w:sz w:val="18"/>
                <w:szCs w:val="18"/>
                <w:highlight w:val="none"/>
              </w:rPr>
              <w:t>《环境影响评价法》、《海洋环境保护法》、《放射性污染防治法》、《政府信息公开条例》</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自该信息形成或者变更之日起20个工作日内</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■两微一端</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■政务服务中心</w:t>
            </w:r>
          </w:p>
          <w:p>
            <w:pPr>
              <w:adjustRightInd w:val="0"/>
              <w:snapToGrid w:val="0"/>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eastAsia" w:ascii="仿宋_GB2312" w:hAnsi="宋体" w:eastAsia="仿宋_GB2312"/>
                <w:color w:val="000000"/>
                <w:sz w:val="18"/>
                <w:szCs w:val="18"/>
                <w:highlight w:val="none"/>
                <w:lang w:eastAsia="zh-CN"/>
              </w:rPr>
            </w:pPr>
            <w:r>
              <w:rPr>
                <w:rFonts w:hint="eastAsia" w:ascii="仿宋_GB2312" w:hAnsi="宋体" w:eastAsia="仿宋_GB2312"/>
                <w:color w:val="000000"/>
                <w:sz w:val="18"/>
                <w:szCs w:val="18"/>
                <w:highlight w:val="none"/>
                <w:lang w:val="en-US" w:eastAsia="zh-CN"/>
              </w:rPr>
              <w:t>2</w:t>
            </w:r>
          </w:p>
        </w:tc>
        <w:tc>
          <w:tcPr>
            <w:tcW w:w="888" w:type="dxa"/>
            <w:vMerge w:val="continue"/>
            <w:noWrap w:val="0"/>
            <w:vAlign w:val="center"/>
          </w:tcPr>
          <w:p>
            <w:pPr>
              <w:adjustRightInd w:val="0"/>
              <w:snapToGrid w:val="0"/>
              <w:jc w:val="center"/>
              <w:rPr>
                <w:rFonts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防治污染设施拆除或闲置审批</w:t>
            </w:r>
          </w:p>
        </w:tc>
        <w:tc>
          <w:tcPr>
            <w:tcW w:w="1906" w:type="dxa"/>
            <w:noWrap w:val="0"/>
            <w:vAlign w:val="center"/>
          </w:tcPr>
          <w:p>
            <w:pPr>
              <w:pStyle w:val="8"/>
              <w:adjustRightInd w:val="0"/>
              <w:snapToGrid w:val="0"/>
              <w:ind w:firstLine="0" w:firstLineChars="0"/>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企业或单位关闭、闲置、拆除工业固体废物污染环境防治设施、场所的核准结果；企业或单位拆除、闲置环境噪声污染防治设施的审批结果</w:t>
            </w:r>
          </w:p>
        </w:tc>
        <w:tc>
          <w:tcPr>
            <w:tcW w:w="2356" w:type="dxa"/>
            <w:noWrap w:val="0"/>
            <w:vAlign w:val="center"/>
          </w:tcPr>
          <w:p>
            <w:pPr>
              <w:adjustRightInd w:val="0"/>
              <w:snapToGrid w:val="0"/>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《固体废物污染环境防治法》、《环境噪声污染防治法》、《海洋环境保护法》、《政府信息公开条例》、《关于全面推进政务公开工作的意见》、《开展基层政务公开标准化规范化试点工作方案》</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自该信息形成 或者变更之日起20个工作日内</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■两微一端</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■政务服务中心</w:t>
            </w:r>
          </w:p>
          <w:p>
            <w:pPr>
              <w:adjustRightInd w:val="0"/>
              <w:snapToGrid w:val="0"/>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eastAsia" w:ascii="仿宋_GB2312" w:hAnsi="宋体" w:eastAsia="仿宋_GB2312"/>
                <w:color w:val="000000"/>
                <w:sz w:val="18"/>
                <w:szCs w:val="18"/>
                <w:highlight w:val="none"/>
                <w:lang w:val="en-US" w:eastAsia="zh-CN"/>
              </w:rPr>
            </w:pPr>
            <w:r>
              <w:rPr>
                <w:rFonts w:hint="eastAsia" w:ascii="仿宋_GB2312" w:hAnsi="宋体" w:eastAsia="仿宋_GB2312"/>
                <w:color w:val="000000"/>
                <w:sz w:val="18"/>
                <w:szCs w:val="18"/>
                <w:highlight w:val="none"/>
                <w:lang w:val="en-US" w:eastAsia="zh-CN"/>
              </w:rPr>
              <w:t>3</w:t>
            </w:r>
          </w:p>
        </w:tc>
        <w:tc>
          <w:tcPr>
            <w:tcW w:w="888" w:type="dxa"/>
            <w:vMerge w:val="continue"/>
            <w:noWrap w:val="0"/>
            <w:vAlign w:val="center"/>
          </w:tcPr>
          <w:p>
            <w:pPr>
              <w:adjustRightInd w:val="0"/>
              <w:snapToGrid w:val="0"/>
              <w:jc w:val="center"/>
              <w:rPr>
                <w:rFonts w:hint="eastAsia" w:ascii="仿宋_GB2312" w:hAnsi="宋体" w:eastAsia="仿宋_GB2312"/>
                <w:color w:val="000000"/>
                <w:sz w:val="18"/>
                <w:szCs w:val="18"/>
                <w:highlight w:val="none"/>
              </w:rPr>
            </w:pPr>
          </w:p>
        </w:tc>
        <w:tc>
          <w:tcPr>
            <w:tcW w:w="817" w:type="dxa"/>
            <w:noWrap w:val="0"/>
            <w:vAlign w:val="center"/>
          </w:tcPr>
          <w:p>
            <w:pPr>
              <w:pStyle w:val="8"/>
              <w:adjustRightInd w:val="0"/>
              <w:snapToGrid w:val="0"/>
              <w:ind w:firstLine="0" w:firstLineChars="0"/>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城市噪声敏感建筑集中区域内夜间连续施工作业审批</w:t>
            </w:r>
          </w:p>
        </w:tc>
        <w:tc>
          <w:tcPr>
            <w:tcW w:w="1906" w:type="dxa"/>
            <w:noWrap w:val="0"/>
            <w:vAlign w:val="center"/>
          </w:tcPr>
          <w:p>
            <w:pPr>
              <w:pStyle w:val="8"/>
              <w:adjustRightInd w:val="0"/>
              <w:snapToGrid w:val="0"/>
              <w:ind w:firstLine="0" w:firstLineChars="0"/>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企业或单位城市噪声敏感建筑集中区域内夜间连续施工作业的核准结果</w:t>
            </w:r>
          </w:p>
        </w:tc>
        <w:tc>
          <w:tcPr>
            <w:tcW w:w="2356" w:type="dxa"/>
            <w:noWrap w:val="0"/>
            <w:vAlign w:val="center"/>
          </w:tcPr>
          <w:p>
            <w:pPr>
              <w:pStyle w:val="8"/>
              <w:adjustRightInd w:val="0"/>
              <w:snapToGrid w:val="0"/>
              <w:ind w:firstLine="0" w:firstLineChars="0"/>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中华人民共和国环境噪声污染防治法》（2018年修正）（第十三届全国人民代表大会常务委员会第七次会议）第三十条；《广东省实施&lt;中华人民共和国环境噪声污染防治法&gt;办法》（2018年11月29日广东省第十三届人民代表大会常务委员会第七次会议）第十九条</w:t>
            </w:r>
          </w:p>
        </w:tc>
        <w:tc>
          <w:tcPr>
            <w:tcW w:w="1413" w:type="dxa"/>
            <w:noWrap w:val="0"/>
            <w:vAlign w:val="center"/>
          </w:tcPr>
          <w:p>
            <w:pPr>
              <w:adjustRightInd w:val="0"/>
              <w:snapToGrid w:val="0"/>
              <w:rPr>
                <w:rFonts w:hint="eastAsia"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s="Times New Roman"/>
                <w:color w:val="000000"/>
                <w:kern w:val="2"/>
                <w:sz w:val="18"/>
                <w:szCs w:val="18"/>
                <w:highlight w:val="none"/>
                <w:lang w:val="en-US" w:eastAsia="zh-CN" w:bidi="ar-SA"/>
              </w:rPr>
              <w:t>自该信息形成或者变更之日起20个工作日内</w:t>
            </w:r>
          </w:p>
        </w:tc>
        <w:tc>
          <w:tcPr>
            <w:tcW w:w="628" w:type="dxa"/>
            <w:noWrap w:val="0"/>
            <w:vAlign w:val="center"/>
          </w:tcPr>
          <w:p>
            <w:pPr>
              <w:adjustRightInd w:val="0"/>
              <w:snapToGrid w:val="0"/>
              <w:jc w:val="center"/>
              <w:rPr>
                <w:rFonts w:hint="eastAsia" w:ascii="仿宋_GB2312" w:hAnsi="宋体" w:eastAsia="仿宋_GB2312" w:cs="Times New Roman"/>
                <w:color w:val="000000"/>
                <w:kern w:val="2"/>
                <w:sz w:val="18"/>
                <w:szCs w:val="18"/>
                <w:highlight w:val="none"/>
                <w:lang w:val="en-US" w:eastAsia="zh-CN" w:bidi="ar-SA"/>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hint="eastAsia"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s="Times New Roman"/>
                <w:color w:val="000000"/>
                <w:kern w:val="2"/>
                <w:sz w:val="18"/>
                <w:szCs w:val="18"/>
                <w:highlight w:val="none"/>
                <w:lang w:val="en-US" w:eastAsia="zh-CN" w:bidi="ar-SA"/>
              </w:rPr>
              <w:t>■政府网站</w:t>
            </w:r>
          </w:p>
          <w:p>
            <w:pPr>
              <w:adjustRightInd w:val="0"/>
              <w:snapToGrid w:val="0"/>
              <w:rPr>
                <w:rFonts w:hint="eastAsia"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s="Times New Roman"/>
                <w:color w:val="000000"/>
                <w:kern w:val="2"/>
                <w:sz w:val="18"/>
                <w:szCs w:val="18"/>
                <w:highlight w:val="none"/>
                <w:lang w:val="en-US" w:eastAsia="zh-CN" w:bidi="ar-SA"/>
              </w:rPr>
              <w:t>■两微一端</w:t>
            </w:r>
          </w:p>
          <w:p>
            <w:pPr>
              <w:adjustRightInd w:val="0"/>
              <w:snapToGrid w:val="0"/>
              <w:rPr>
                <w:rFonts w:hint="eastAsia"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s="Times New Roman"/>
                <w:color w:val="000000"/>
                <w:kern w:val="2"/>
                <w:sz w:val="18"/>
                <w:szCs w:val="18"/>
                <w:highlight w:val="none"/>
                <w:lang w:val="en-US" w:eastAsia="zh-CN" w:bidi="ar-SA"/>
              </w:rPr>
              <w:t>■政务服务中心</w:t>
            </w:r>
          </w:p>
          <w:p>
            <w:pPr>
              <w:pStyle w:val="8"/>
              <w:adjustRightInd w:val="0"/>
              <w:snapToGrid w:val="0"/>
              <w:ind w:firstLine="0" w:firstLineChars="0"/>
              <w:rPr>
                <w:rFonts w:hint="eastAsia" w:ascii="仿宋_GB2312" w:hAnsi="宋体" w:eastAsia="仿宋_GB2312" w:cs="Times New Roman"/>
                <w:color w:val="000000"/>
                <w:kern w:val="2"/>
                <w:sz w:val="18"/>
                <w:szCs w:val="18"/>
                <w:highlight w:val="none"/>
                <w:lang w:val="en-US" w:eastAsia="zh-CN" w:bidi="ar-SA"/>
              </w:rPr>
            </w:pPr>
          </w:p>
        </w:tc>
        <w:tc>
          <w:tcPr>
            <w:tcW w:w="62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p>
        </w:tc>
        <w:tc>
          <w:tcPr>
            <w:tcW w:w="481"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eastAsia" w:ascii="仿宋_GB2312" w:hAnsi="宋体" w:eastAsia="仿宋_GB2312"/>
                <w:color w:val="000000"/>
                <w:sz w:val="18"/>
                <w:szCs w:val="18"/>
                <w:highlight w:val="none"/>
                <w:lang w:val="en-US" w:eastAsia="zh-CN"/>
              </w:rPr>
            </w:pPr>
            <w:r>
              <w:rPr>
                <w:rFonts w:hint="eastAsia" w:ascii="仿宋_GB2312" w:hAnsi="宋体" w:eastAsia="仿宋_GB2312"/>
                <w:color w:val="000000"/>
                <w:sz w:val="18"/>
                <w:szCs w:val="18"/>
                <w:highlight w:val="none"/>
                <w:lang w:val="en-US" w:eastAsia="zh-CN"/>
              </w:rPr>
              <w:t>4</w:t>
            </w:r>
          </w:p>
        </w:tc>
        <w:tc>
          <w:tcPr>
            <w:tcW w:w="888" w:type="dxa"/>
            <w:vMerge w:val="continue"/>
            <w:noWrap w:val="0"/>
            <w:vAlign w:val="center"/>
          </w:tcPr>
          <w:p>
            <w:pPr>
              <w:adjustRightInd w:val="0"/>
              <w:snapToGrid w:val="0"/>
              <w:jc w:val="center"/>
              <w:rPr>
                <w:rFonts w:hint="eastAsia"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建筑施工使用蒸汽桩机、锤击桩机行政许可</w:t>
            </w:r>
          </w:p>
        </w:tc>
        <w:tc>
          <w:tcPr>
            <w:tcW w:w="1906" w:type="dxa"/>
            <w:noWrap w:val="0"/>
            <w:vAlign w:val="center"/>
          </w:tcPr>
          <w:p>
            <w:pPr>
              <w:pStyle w:val="8"/>
              <w:adjustRightInd w:val="0"/>
              <w:snapToGrid w:val="0"/>
              <w:ind w:firstLine="0" w:firstLineChars="0"/>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企业或单位建筑施工使用蒸汽桩机、锤击桩机的核准结果</w:t>
            </w:r>
          </w:p>
        </w:tc>
        <w:tc>
          <w:tcPr>
            <w:tcW w:w="2356" w:type="dxa"/>
            <w:noWrap w:val="0"/>
            <w:vAlign w:val="center"/>
          </w:tcPr>
          <w:p>
            <w:pPr>
              <w:adjustRightInd w:val="0"/>
              <w:snapToGrid w:val="0"/>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广东省实施&lt;中华人民共和国环境噪声污染防治法&gt;办法》（2018年11月29日广东省第十三届人民代表大会常务委员会第七次会议第三次修正）（2018年11月29日广东省第十三届人民代表大会常务委员会第七次会议第三次修正）第二十条</w:t>
            </w:r>
          </w:p>
        </w:tc>
        <w:tc>
          <w:tcPr>
            <w:tcW w:w="1413" w:type="dxa"/>
            <w:noWrap w:val="0"/>
            <w:vAlign w:val="center"/>
          </w:tcPr>
          <w:p>
            <w:pPr>
              <w:adjustRightInd w:val="0"/>
              <w:snapToGrid w:val="0"/>
              <w:jc w:val="center"/>
              <w:rPr>
                <w:rFonts w:hint="eastAsia"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s="Times New Roman"/>
                <w:color w:val="000000"/>
                <w:kern w:val="2"/>
                <w:sz w:val="18"/>
                <w:szCs w:val="18"/>
                <w:highlight w:val="none"/>
                <w:lang w:val="en-US" w:eastAsia="zh-CN" w:bidi="ar-SA"/>
              </w:rPr>
              <w:t>自该信息形成或者变更之日起20个工作日内</w:t>
            </w:r>
          </w:p>
        </w:tc>
        <w:tc>
          <w:tcPr>
            <w:tcW w:w="628" w:type="dxa"/>
            <w:noWrap w:val="0"/>
            <w:vAlign w:val="center"/>
          </w:tcPr>
          <w:p>
            <w:pPr>
              <w:adjustRightInd w:val="0"/>
              <w:snapToGrid w:val="0"/>
              <w:jc w:val="center"/>
              <w:rPr>
                <w:rFonts w:hint="eastAsia" w:ascii="仿宋_GB2312" w:hAnsi="宋体" w:eastAsia="仿宋_GB2312" w:cs="Times New Roman"/>
                <w:color w:val="000000"/>
                <w:kern w:val="2"/>
                <w:sz w:val="18"/>
                <w:szCs w:val="18"/>
                <w:highlight w:val="none"/>
                <w:lang w:val="en-US" w:eastAsia="zh-CN" w:bidi="ar-SA"/>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hint="eastAsia"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s="Times New Roman"/>
                <w:color w:val="000000"/>
                <w:kern w:val="2"/>
                <w:sz w:val="18"/>
                <w:szCs w:val="18"/>
                <w:highlight w:val="none"/>
                <w:lang w:val="en-US" w:eastAsia="zh-CN" w:bidi="ar-SA"/>
              </w:rPr>
              <w:t>■政府网站</w:t>
            </w:r>
          </w:p>
          <w:p>
            <w:pPr>
              <w:adjustRightInd w:val="0"/>
              <w:snapToGrid w:val="0"/>
              <w:rPr>
                <w:rFonts w:hint="eastAsia"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s="Times New Roman"/>
                <w:color w:val="000000"/>
                <w:kern w:val="2"/>
                <w:sz w:val="18"/>
                <w:szCs w:val="18"/>
                <w:highlight w:val="none"/>
                <w:lang w:val="en-US" w:eastAsia="zh-CN" w:bidi="ar-SA"/>
              </w:rPr>
              <w:t>■两微一端</w:t>
            </w:r>
          </w:p>
          <w:p>
            <w:pPr>
              <w:adjustRightInd w:val="0"/>
              <w:snapToGrid w:val="0"/>
              <w:rPr>
                <w:rFonts w:hint="eastAsia"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s="Times New Roman"/>
                <w:color w:val="000000"/>
                <w:kern w:val="2"/>
                <w:sz w:val="18"/>
                <w:szCs w:val="18"/>
                <w:highlight w:val="none"/>
                <w:lang w:val="en-US" w:eastAsia="zh-CN" w:bidi="ar-SA"/>
              </w:rPr>
              <w:t>■政务服务中心</w:t>
            </w:r>
          </w:p>
          <w:p>
            <w:pPr>
              <w:adjustRightInd w:val="0"/>
              <w:snapToGrid w:val="0"/>
              <w:rPr>
                <w:rFonts w:hint="eastAsia" w:ascii="仿宋_GB2312" w:hAnsi="宋体" w:eastAsia="仿宋_GB2312" w:cs="Times New Roman"/>
                <w:color w:val="000000"/>
                <w:kern w:val="2"/>
                <w:sz w:val="18"/>
                <w:szCs w:val="18"/>
                <w:highlight w:val="none"/>
                <w:lang w:val="en-US" w:eastAsia="zh-CN" w:bidi="ar-SA"/>
              </w:rPr>
            </w:pPr>
          </w:p>
        </w:tc>
        <w:tc>
          <w:tcPr>
            <w:tcW w:w="62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p>
        </w:tc>
        <w:tc>
          <w:tcPr>
            <w:tcW w:w="481"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1652" w:hRule="atLeast"/>
          <w:jc w:val="center"/>
        </w:trPr>
        <w:tc>
          <w:tcPr>
            <w:tcW w:w="471" w:type="dxa"/>
            <w:noWrap w:val="0"/>
            <w:vAlign w:val="center"/>
          </w:tcPr>
          <w:p>
            <w:pPr>
              <w:pStyle w:val="8"/>
              <w:adjustRightInd w:val="0"/>
              <w:snapToGrid w:val="0"/>
              <w:ind w:firstLine="0" w:firstLineChars="0"/>
              <w:jc w:val="center"/>
              <w:rPr>
                <w:rFonts w:hint="eastAsia" w:ascii="仿宋_GB2312" w:hAnsi="宋体" w:eastAsia="仿宋_GB2312"/>
                <w:color w:val="000000"/>
                <w:sz w:val="18"/>
                <w:szCs w:val="18"/>
                <w:highlight w:val="none"/>
                <w:lang w:val="en-US" w:eastAsia="zh-CN"/>
              </w:rPr>
            </w:pPr>
            <w:r>
              <w:rPr>
                <w:rFonts w:hint="eastAsia" w:ascii="仿宋_GB2312" w:hAnsi="宋体"/>
                <w:color w:val="000000"/>
                <w:sz w:val="18"/>
                <w:szCs w:val="18"/>
                <w:highlight w:val="none"/>
                <w:lang w:val="en-US" w:eastAsia="zh-CN"/>
              </w:rPr>
              <w:t>5</w:t>
            </w:r>
          </w:p>
        </w:tc>
        <w:tc>
          <w:tcPr>
            <w:tcW w:w="888" w:type="dxa"/>
            <w:vMerge w:val="restart"/>
            <w:noWrap w:val="0"/>
            <w:vAlign w:val="center"/>
          </w:tcPr>
          <w:p>
            <w:pPr>
              <w:adjustRightInd w:val="0"/>
              <w:snapToGrid w:val="0"/>
              <w:jc w:val="center"/>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行政处罚行政强制和行政</w:t>
            </w:r>
            <w:r>
              <w:rPr>
                <w:rFonts w:ascii="仿宋_GB2312" w:hAnsi="宋体" w:eastAsia="仿宋_GB2312"/>
                <w:color w:val="000000"/>
                <w:sz w:val="18"/>
                <w:szCs w:val="18"/>
                <w:highlight w:val="none"/>
              </w:rPr>
              <w:t>命令</w:t>
            </w:r>
          </w:p>
          <w:p>
            <w:pPr>
              <w:adjustRightInd w:val="0"/>
              <w:snapToGrid w:val="0"/>
              <w:jc w:val="center"/>
              <w:rPr>
                <w:rFonts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行政处罚流程</w:t>
            </w:r>
          </w:p>
        </w:tc>
        <w:tc>
          <w:tcPr>
            <w:tcW w:w="1906" w:type="dxa"/>
            <w:noWrap w:val="0"/>
            <w:vAlign w:val="center"/>
          </w:tcPr>
          <w:p>
            <w:pPr>
              <w:pStyle w:val="8"/>
              <w:adjustRightInd w:val="0"/>
              <w:snapToGrid w:val="0"/>
              <w:ind w:firstLine="0" w:firstLineChars="0"/>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行政处罚事先告知书；行政</w:t>
            </w:r>
            <w:r>
              <w:rPr>
                <w:rFonts w:ascii="仿宋_GB2312" w:hAnsi="宋体" w:eastAsia="仿宋_GB2312"/>
                <w:color w:val="000000"/>
                <w:sz w:val="18"/>
                <w:szCs w:val="18"/>
                <w:highlight w:val="none"/>
              </w:rPr>
              <w:t>处罚</w:t>
            </w:r>
            <w:r>
              <w:rPr>
                <w:rFonts w:hint="eastAsia" w:ascii="仿宋_GB2312" w:hAnsi="宋体" w:eastAsia="仿宋_GB2312"/>
                <w:color w:val="000000"/>
                <w:sz w:val="18"/>
                <w:szCs w:val="18"/>
                <w:highlight w:val="none"/>
              </w:rPr>
              <w:t>听证通知书；处罚执行情况：同意分期（延期）缴纳罚款通知书、督促</w:t>
            </w:r>
            <w:r>
              <w:rPr>
                <w:rFonts w:ascii="仿宋_GB2312" w:hAnsi="宋体" w:eastAsia="仿宋_GB2312"/>
                <w:color w:val="000000"/>
                <w:sz w:val="18"/>
                <w:szCs w:val="18"/>
                <w:highlight w:val="none"/>
              </w:rPr>
              <w:t>履行义务</w:t>
            </w:r>
            <w:r>
              <w:rPr>
                <w:rFonts w:hint="eastAsia" w:ascii="仿宋_GB2312" w:hAnsi="宋体" w:eastAsia="仿宋_GB2312"/>
                <w:color w:val="000000"/>
                <w:sz w:val="18"/>
                <w:szCs w:val="18"/>
                <w:highlight w:val="none"/>
              </w:rPr>
              <w:t>催告书、强制执行申请书等</w:t>
            </w:r>
          </w:p>
        </w:tc>
        <w:tc>
          <w:tcPr>
            <w:tcW w:w="2356" w:type="dxa"/>
            <w:vMerge w:val="restart"/>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《环境保护法》、《水污染防治法》、《海洋环境保护法》、《大气污染防治法》、《环境噪声污染防治法》、《</w:t>
            </w:r>
            <w:r>
              <w:rPr>
                <w:rFonts w:hint="eastAsia" w:ascii="仿宋_GB2312" w:hAnsi="宋体"/>
                <w:color w:val="000000"/>
                <w:sz w:val="18"/>
                <w:szCs w:val="18"/>
                <w:highlight w:val="none"/>
                <w:lang w:eastAsia="zh-CN"/>
              </w:rPr>
              <w:t>中华人民共和国</w:t>
            </w:r>
            <w:r>
              <w:rPr>
                <w:rFonts w:hint="eastAsia" w:ascii="仿宋_GB2312" w:hAnsi="宋体" w:eastAsia="仿宋_GB2312"/>
                <w:color w:val="000000"/>
                <w:sz w:val="18"/>
                <w:szCs w:val="18"/>
                <w:highlight w:val="none"/>
              </w:rPr>
              <w:t>土壤污染防治法》、《固体废物污染环境防治法》、《放射性污染防治法》、《</w:t>
            </w:r>
            <w:r>
              <w:rPr>
                <w:rFonts w:ascii="仿宋_GB2312" w:hAnsi="宋体" w:eastAsia="仿宋_GB2312"/>
                <w:color w:val="000000"/>
                <w:sz w:val="18"/>
                <w:szCs w:val="18"/>
                <w:highlight w:val="none"/>
              </w:rPr>
              <w:t>核安全法</w:t>
            </w:r>
            <w:r>
              <w:rPr>
                <w:rFonts w:hint="eastAsia" w:ascii="仿宋_GB2312" w:hAnsi="宋体" w:eastAsia="仿宋_GB2312"/>
                <w:color w:val="000000"/>
                <w:sz w:val="18"/>
                <w:szCs w:val="18"/>
                <w:highlight w:val="none"/>
              </w:rPr>
              <w:t>》、《环境影响评价法》、《政府信息公开条例》、《环境行政处罚办法》</w:t>
            </w:r>
          </w:p>
        </w:tc>
        <w:tc>
          <w:tcPr>
            <w:tcW w:w="1413" w:type="dxa"/>
            <w:vMerge w:val="restart"/>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自收到申请之日起</w:t>
            </w:r>
            <w:r>
              <w:rPr>
                <w:rFonts w:ascii="仿宋_GB2312" w:hAnsi="宋体" w:eastAsia="仿宋_GB2312"/>
                <w:color w:val="000000"/>
                <w:sz w:val="18"/>
                <w:szCs w:val="18"/>
                <w:highlight w:val="none"/>
              </w:rPr>
              <w:t>20</w:t>
            </w:r>
            <w:r>
              <w:rPr>
                <w:rFonts w:hint="eastAsia" w:ascii="仿宋_GB2312" w:hAnsi="宋体" w:eastAsia="仿宋_GB2312"/>
                <w:color w:val="000000"/>
                <w:sz w:val="18"/>
                <w:szCs w:val="18"/>
                <w:highlight w:val="none"/>
              </w:rPr>
              <w:t>个工作日内</w:t>
            </w:r>
          </w:p>
          <w:p>
            <w:pPr>
              <w:adjustRightInd w:val="0"/>
              <w:snapToGrid w:val="0"/>
              <w:rPr>
                <w:rFonts w:ascii="仿宋_GB2312" w:hAnsi="宋体" w:eastAsia="仿宋_GB2312"/>
                <w:color w:val="000000"/>
                <w:sz w:val="18"/>
                <w:szCs w:val="18"/>
                <w:highlight w:val="none"/>
              </w:rPr>
            </w:pPr>
          </w:p>
        </w:tc>
        <w:tc>
          <w:tcPr>
            <w:tcW w:w="628" w:type="dxa"/>
            <w:vMerge w:val="restart"/>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■精准推送</w:t>
            </w:r>
          </w:p>
          <w:p>
            <w:pPr>
              <w:adjustRightInd w:val="0"/>
              <w:snapToGrid w:val="0"/>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eastAsia" w:ascii="仿宋_GB2312" w:hAnsi="宋体" w:eastAsia="仿宋_GB2312"/>
                <w:color w:val="000000"/>
                <w:sz w:val="18"/>
                <w:szCs w:val="18"/>
                <w:highlight w:val="none"/>
                <w:lang w:val="en-US" w:eastAsia="zh-CN"/>
              </w:rPr>
            </w:pPr>
            <w:r>
              <w:rPr>
                <w:rFonts w:hint="eastAsia" w:ascii="仿宋_GB2312" w:hAnsi="宋体"/>
                <w:color w:val="000000"/>
                <w:sz w:val="18"/>
                <w:szCs w:val="18"/>
                <w:highlight w:val="none"/>
                <w:lang w:val="en-US" w:eastAsia="zh-CN"/>
              </w:rPr>
              <w:t>6</w:t>
            </w:r>
          </w:p>
        </w:tc>
        <w:tc>
          <w:tcPr>
            <w:tcW w:w="888"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行政处罚决定</w:t>
            </w:r>
          </w:p>
        </w:tc>
        <w:tc>
          <w:tcPr>
            <w:tcW w:w="1906"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行政处罚决定书（全文公开）</w:t>
            </w:r>
          </w:p>
        </w:tc>
        <w:tc>
          <w:tcPr>
            <w:tcW w:w="2356"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1413"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628" w:type="dxa"/>
            <w:vMerge w:val="continue"/>
            <w:noWrap w:val="0"/>
            <w:vAlign w:val="center"/>
          </w:tcPr>
          <w:p>
            <w:pPr>
              <w:adjustRightInd w:val="0"/>
              <w:snapToGrid w:val="0"/>
              <w:jc w:val="center"/>
              <w:rPr>
                <w:rFonts w:ascii="仿宋_GB2312" w:hAnsi="宋体" w:eastAsia="仿宋_GB2312"/>
                <w:color w:val="000000"/>
                <w:sz w:val="18"/>
                <w:szCs w:val="18"/>
                <w:highlight w:val="none"/>
              </w:rPr>
            </w:pP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■两微一端</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■政务服务中心</w:t>
            </w:r>
          </w:p>
          <w:p>
            <w:pPr>
              <w:adjustRightInd w:val="0"/>
              <w:snapToGrid w:val="0"/>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eastAsia" w:ascii="仿宋_GB2312" w:hAnsi="宋体" w:eastAsia="仿宋_GB2312"/>
                <w:color w:val="000000"/>
                <w:sz w:val="18"/>
                <w:szCs w:val="18"/>
                <w:highlight w:val="none"/>
                <w:lang w:val="en-US" w:eastAsia="zh-CN"/>
              </w:rPr>
            </w:pPr>
            <w:r>
              <w:rPr>
                <w:rFonts w:hint="eastAsia" w:ascii="仿宋_GB2312" w:hAnsi="宋体"/>
                <w:color w:val="000000"/>
                <w:sz w:val="18"/>
                <w:szCs w:val="18"/>
                <w:highlight w:val="none"/>
                <w:lang w:val="en-US" w:eastAsia="zh-CN"/>
              </w:rPr>
              <w:t>7</w:t>
            </w:r>
          </w:p>
        </w:tc>
        <w:tc>
          <w:tcPr>
            <w:tcW w:w="888" w:type="dxa"/>
            <w:vMerge w:val="continue"/>
            <w:noWrap w:val="0"/>
            <w:vAlign w:val="center"/>
          </w:tcPr>
          <w:p>
            <w:pPr>
              <w:adjustRightInd w:val="0"/>
              <w:snapToGrid w:val="0"/>
              <w:jc w:val="center"/>
              <w:rPr>
                <w:rFonts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行政强制流程</w:t>
            </w:r>
          </w:p>
        </w:tc>
        <w:tc>
          <w:tcPr>
            <w:tcW w:w="1906" w:type="dxa"/>
            <w:noWrap w:val="0"/>
            <w:vAlign w:val="center"/>
          </w:tcPr>
          <w:p>
            <w:pPr>
              <w:pStyle w:val="8"/>
              <w:adjustRightInd w:val="0"/>
              <w:snapToGrid w:val="0"/>
              <w:ind w:firstLine="0" w:firstLineChars="0"/>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查封</w:t>
            </w:r>
            <w:r>
              <w:rPr>
                <w:rFonts w:ascii="仿宋_GB2312" w:hAnsi="宋体" w:eastAsia="仿宋_GB2312"/>
                <w:color w:val="000000"/>
                <w:sz w:val="18"/>
                <w:szCs w:val="18"/>
                <w:highlight w:val="none"/>
              </w:rPr>
              <w:t>、扣押清单</w:t>
            </w:r>
            <w:r>
              <w:rPr>
                <w:rFonts w:hint="eastAsia" w:ascii="仿宋_GB2312" w:hAnsi="宋体" w:eastAsia="仿宋_GB2312"/>
                <w:color w:val="000000"/>
                <w:sz w:val="18"/>
                <w:szCs w:val="18"/>
                <w:highlight w:val="none"/>
              </w:rPr>
              <w:t>；查封</w:t>
            </w:r>
            <w:r>
              <w:rPr>
                <w:rFonts w:ascii="仿宋_GB2312" w:hAnsi="宋体" w:eastAsia="仿宋_GB2312"/>
                <w:color w:val="000000"/>
                <w:sz w:val="18"/>
                <w:szCs w:val="18"/>
                <w:highlight w:val="none"/>
              </w:rPr>
              <w:t>（</w:t>
            </w:r>
            <w:r>
              <w:rPr>
                <w:rFonts w:hint="eastAsia" w:ascii="仿宋_GB2312" w:hAnsi="宋体" w:eastAsia="仿宋_GB2312"/>
                <w:color w:val="000000"/>
                <w:sz w:val="18"/>
                <w:szCs w:val="18"/>
                <w:highlight w:val="none"/>
              </w:rPr>
              <w:t>扣押</w:t>
            </w:r>
            <w:r>
              <w:rPr>
                <w:rFonts w:ascii="仿宋_GB2312" w:hAnsi="宋体" w:eastAsia="仿宋_GB2312"/>
                <w:color w:val="000000"/>
                <w:sz w:val="18"/>
                <w:szCs w:val="18"/>
                <w:highlight w:val="none"/>
              </w:rPr>
              <w:t>）</w:t>
            </w:r>
            <w:r>
              <w:rPr>
                <w:rFonts w:hint="eastAsia" w:ascii="仿宋_GB2312" w:hAnsi="宋体" w:eastAsia="仿宋_GB2312"/>
                <w:color w:val="000000"/>
                <w:sz w:val="18"/>
                <w:szCs w:val="18"/>
                <w:highlight w:val="none"/>
              </w:rPr>
              <w:t>延期</w:t>
            </w:r>
            <w:r>
              <w:rPr>
                <w:rFonts w:ascii="仿宋_GB2312" w:hAnsi="宋体" w:eastAsia="仿宋_GB2312"/>
                <w:color w:val="000000"/>
                <w:sz w:val="18"/>
                <w:szCs w:val="18"/>
                <w:highlight w:val="none"/>
              </w:rPr>
              <w:t>通知书</w:t>
            </w:r>
            <w:r>
              <w:rPr>
                <w:rFonts w:hint="eastAsia" w:ascii="仿宋_GB2312" w:hAnsi="宋体" w:eastAsia="仿宋_GB2312"/>
                <w:color w:val="000000"/>
                <w:sz w:val="18"/>
                <w:szCs w:val="18"/>
                <w:highlight w:val="none"/>
              </w:rPr>
              <w:t>；解除</w:t>
            </w:r>
            <w:r>
              <w:rPr>
                <w:rFonts w:ascii="仿宋_GB2312" w:hAnsi="宋体" w:eastAsia="仿宋_GB2312"/>
                <w:color w:val="000000"/>
                <w:sz w:val="18"/>
                <w:szCs w:val="18"/>
                <w:highlight w:val="none"/>
              </w:rPr>
              <w:t>查封（</w:t>
            </w:r>
            <w:r>
              <w:rPr>
                <w:rFonts w:hint="eastAsia" w:ascii="仿宋_GB2312" w:hAnsi="宋体" w:eastAsia="仿宋_GB2312"/>
                <w:color w:val="000000"/>
                <w:sz w:val="18"/>
                <w:szCs w:val="18"/>
                <w:highlight w:val="none"/>
              </w:rPr>
              <w:t>扣押</w:t>
            </w:r>
            <w:r>
              <w:rPr>
                <w:rFonts w:ascii="仿宋_GB2312" w:hAnsi="宋体" w:eastAsia="仿宋_GB2312"/>
                <w:color w:val="000000"/>
                <w:sz w:val="18"/>
                <w:szCs w:val="18"/>
                <w:highlight w:val="none"/>
              </w:rPr>
              <w:t>）</w:t>
            </w:r>
            <w:r>
              <w:rPr>
                <w:rFonts w:hint="eastAsia" w:ascii="仿宋_GB2312" w:hAnsi="宋体" w:eastAsia="仿宋_GB2312"/>
                <w:color w:val="000000"/>
                <w:sz w:val="18"/>
                <w:szCs w:val="18"/>
                <w:highlight w:val="none"/>
              </w:rPr>
              <w:t>决定书</w:t>
            </w:r>
          </w:p>
        </w:tc>
        <w:tc>
          <w:tcPr>
            <w:tcW w:w="2356" w:type="dxa"/>
            <w:vMerge w:val="restart"/>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《环境保护法》、《水污染防治法》、《海洋环境保护法》、《大气污染防治法》、《环境噪声污染防治法》、《</w:t>
            </w:r>
            <w:r>
              <w:rPr>
                <w:rFonts w:hint="eastAsia" w:ascii="仿宋_GB2312" w:hAnsi="宋体"/>
                <w:color w:val="000000"/>
                <w:sz w:val="18"/>
                <w:szCs w:val="18"/>
                <w:highlight w:val="none"/>
                <w:lang w:eastAsia="zh-CN"/>
              </w:rPr>
              <w:t>中华人民共和国</w:t>
            </w:r>
            <w:bookmarkStart w:id="1" w:name="_GoBack"/>
            <w:bookmarkEnd w:id="1"/>
            <w:r>
              <w:rPr>
                <w:rFonts w:hint="eastAsia" w:ascii="仿宋_GB2312" w:hAnsi="宋体" w:eastAsia="仿宋_GB2312"/>
                <w:color w:val="000000"/>
                <w:sz w:val="18"/>
                <w:szCs w:val="18"/>
                <w:highlight w:val="none"/>
              </w:rPr>
              <w:t>土壤污染防治法》、《固体废物污染环境防治法》、《放射性污染防治法》、《</w:t>
            </w:r>
            <w:r>
              <w:rPr>
                <w:rFonts w:ascii="仿宋_GB2312" w:hAnsi="宋体" w:eastAsia="仿宋_GB2312"/>
                <w:color w:val="000000"/>
                <w:sz w:val="18"/>
                <w:szCs w:val="18"/>
                <w:highlight w:val="none"/>
              </w:rPr>
              <w:t>核安全法</w:t>
            </w:r>
            <w:r>
              <w:rPr>
                <w:rFonts w:hint="eastAsia" w:ascii="仿宋_GB2312" w:hAnsi="宋体" w:eastAsia="仿宋_GB2312"/>
                <w:color w:val="000000"/>
                <w:sz w:val="18"/>
                <w:szCs w:val="18"/>
                <w:highlight w:val="none"/>
              </w:rPr>
              <w:t>》、《环境影响评价法》、《政府信息公开条例》、《环境行政处罚办法》</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自收到申请之日起</w:t>
            </w:r>
            <w:r>
              <w:rPr>
                <w:rFonts w:ascii="仿宋_GB2312" w:hAnsi="宋体" w:eastAsia="仿宋_GB2312"/>
                <w:color w:val="000000"/>
                <w:sz w:val="18"/>
                <w:szCs w:val="18"/>
                <w:highlight w:val="none"/>
              </w:rPr>
              <w:t>20</w:t>
            </w:r>
            <w:r>
              <w:rPr>
                <w:rFonts w:hint="eastAsia" w:ascii="仿宋_GB2312" w:hAnsi="宋体" w:eastAsia="仿宋_GB2312"/>
                <w:color w:val="000000"/>
                <w:sz w:val="18"/>
                <w:szCs w:val="18"/>
                <w:highlight w:val="none"/>
              </w:rPr>
              <w:t>个工作日内</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■精准推送</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eastAsia" w:ascii="仿宋_GB2312" w:hAnsi="宋体" w:eastAsia="仿宋_GB2312"/>
                <w:color w:val="000000"/>
                <w:sz w:val="18"/>
                <w:szCs w:val="18"/>
                <w:highlight w:val="none"/>
                <w:lang w:val="en-US" w:eastAsia="zh-CN"/>
              </w:rPr>
            </w:pPr>
            <w:r>
              <w:rPr>
                <w:rFonts w:hint="eastAsia" w:ascii="仿宋_GB2312" w:hAnsi="宋体"/>
                <w:color w:val="000000"/>
                <w:sz w:val="18"/>
                <w:szCs w:val="18"/>
                <w:highlight w:val="none"/>
                <w:lang w:val="en-US" w:eastAsia="zh-CN"/>
              </w:rPr>
              <w:t>8</w:t>
            </w:r>
          </w:p>
        </w:tc>
        <w:tc>
          <w:tcPr>
            <w:tcW w:w="888"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行政强制决定</w:t>
            </w:r>
          </w:p>
        </w:tc>
        <w:tc>
          <w:tcPr>
            <w:tcW w:w="1906"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查封、</w:t>
            </w:r>
            <w:r>
              <w:rPr>
                <w:rFonts w:ascii="仿宋_GB2312" w:hAnsi="宋体" w:eastAsia="仿宋_GB2312"/>
                <w:color w:val="000000"/>
                <w:sz w:val="18"/>
                <w:szCs w:val="18"/>
                <w:highlight w:val="none"/>
              </w:rPr>
              <w:t>扣押</w:t>
            </w:r>
            <w:r>
              <w:rPr>
                <w:rFonts w:hint="eastAsia" w:ascii="仿宋_GB2312" w:hAnsi="宋体" w:eastAsia="仿宋_GB2312"/>
                <w:color w:val="000000"/>
                <w:sz w:val="18"/>
                <w:szCs w:val="18"/>
                <w:highlight w:val="none"/>
              </w:rPr>
              <w:t>决定书（全文</w:t>
            </w:r>
            <w:r>
              <w:rPr>
                <w:rFonts w:ascii="仿宋_GB2312" w:hAnsi="宋体" w:eastAsia="仿宋_GB2312"/>
                <w:color w:val="000000"/>
                <w:sz w:val="18"/>
                <w:szCs w:val="18"/>
                <w:highlight w:val="none"/>
              </w:rPr>
              <w:t>公开</w:t>
            </w:r>
            <w:r>
              <w:rPr>
                <w:rFonts w:hint="eastAsia" w:ascii="仿宋_GB2312" w:hAnsi="宋体" w:eastAsia="仿宋_GB2312"/>
                <w:color w:val="000000"/>
                <w:sz w:val="18"/>
                <w:szCs w:val="18"/>
                <w:highlight w:val="none"/>
              </w:rPr>
              <w:t>）</w:t>
            </w:r>
          </w:p>
        </w:tc>
        <w:tc>
          <w:tcPr>
            <w:tcW w:w="2356"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自该信息形成或者变更之日起20个工作日内</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vMerge w:val="restart"/>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■两微一端</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■政务服务中心</w:t>
            </w:r>
          </w:p>
          <w:p>
            <w:pPr>
              <w:adjustRightInd w:val="0"/>
              <w:snapToGrid w:val="0"/>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eastAsia" w:ascii="仿宋_GB2312" w:hAnsi="宋体" w:eastAsia="仿宋_GB2312"/>
                <w:color w:val="000000"/>
                <w:sz w:val="18"/>
                <w:szCs w:val="18"/>
                <w:highlight w:val="none"/>
                <w:lang w:val="en-US" w:eastAsia="zh-CN"/>
              </w:rPr>
            </w:pPr>
            <w:r>
              <w:rPr>
                <w:rFonts w:hint="eastAsia" w:ascii="仿宋_GB2312" w:hAnsi="宋体"/>
                <w:color w:val="000000"/>
                <w:sz w:val="18"/>
                <w:szCs w:val="18"/>
                <w:highlight w:val="none"/>
                <w:lang w:val="en-US" w:eastAsia="zh-CN"/>
              </w:rPr>
              <w:t>9</w:t>
            </w:r>
          </w:p>
        </w:tc>
        <w:tc>
          <w:tcPr>
            <w:tcW w:w="888"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w:t>
            </w:r>
            <w:r>
              <w:rPr>
                <w:rFonts w:ascii="仿宋_GB2312" w:hAnsi="宋体" w:eastAsia="仿宋_GB2312"/>
                <w:color w:val="000000"/>
                <w:sz w:val="18"/>
                <w:szCs w:val="18"/>
                <w:highlight w:val="none"/>
              </w:rPr>
              <w:t>命令</w:t>
            </w:r>
          </w:p>
        </w:tc>
        <w:tc>
          <w:tcPr>
            <w:tcW w:w="1906"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责令</w:t>
            </w:r>
            <w:r>
              <w:rPr>
                <w:rFonts w:ascii="仿宋_GB2312" w:hAnsi="宋体" w:eastAsia="仿宋_GB2312"/>
                <w:color w:val="000000"/>
                <w:sz w:val="18"/>
                <w:szCs w:val="18"/>
                <w:highlight w:val="none"/>
              </w:rPr>
              <w:t>改正违法行为决定书（</w:t>
            </w:r>
            <w:r>
              <w:rPr>
                <w:rFonts w:hint="eastAsia" w:ascii="仿宋_GB2312" w:hAnsi="宋体" w:eastAsia="仿宋_GB2312"/>
                <w:color w:val="000000"/>
                <w:sz w:val="18"/>
                <w:szCs w:val="18"/>
                <w:highlight w:val="none"/>
              </w:rPr>
              <w:t>全文</w:t>
            </w:r>
            <w:r>
              <w:rPr>
                <w:rFonts w:ascii="仿宋_GB2312" w:hAnsi="宋体" w:eastAsia="仿宋_GB2312"/>
                <w:color w:val="000000"/>
                <w:sz w:val="18"/>
                <w:szCs w:val="18"/>
                <w:highlight w:val="none"/>
              </w:rPr>
              <w:t>公开）</w:t>
            </w:r>
          </w:p>
        </w:tc>
        <w:tc>
          <w:tcPr>
            <w:tcW w:w="2356"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自该信息形成或者变更之日起20个工作日内</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default" w:ascii="仿宋_GB2312" w:hAnsi="宋体" w:eastAsia="仿宋_GB2312"/>
                <w:color w:val="000000"/>
                <w:sz w:val="18"/>
                <w:szCs w:val="18"/>
                <w:highlight w:val="none"/>
                <w:lang w:val="en-US" w:eastAsia="zh-CN"/>
              </w:rPr>
            </w:pPr>
            <w:r>
              <w:rPr>
                <w:rFonts w:hint="eastAsia" w:ascii="仿宋_GB2312" w:hAnsi="宋体"/>
                <w:color w:val="000000"/>
                <w:sz w:val="18"/>
                <w:szCs w:val="18"/>
                <w:highlight w:val="none"/>
                <w:lang w:val="en-US" w:eastAsia="zh-CN"/>
              </w:rPr>
              <w:t>10</w:t>
            </w:r>
          </w:p>
        </w:tc>
        <w:tc>
          <w:tcPr>
            <w:tcW w:w="888" w:type="dxa"/>
            <w:noWrap w:val="0"/>
            <w:vAlign w:val="center"/>
          </w:tcPr>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行政</w:t>
            </w:r>
            <w:r>
              <w:rPr>
                <w:rFonts w:ascii="仿宋_GB2312" w:hAnsi="宋体" w:eastAsia="仿宋_GB2312"/>
                <w:color w:val="000000"/>
                <w:sz w:val="18"/>
                <w:szCs w:val="18"/>
                <w:highlight w:val="none"/>
              </w:rPr>
              <w:br w:type="textWrapping"/>
            </w:r>
            <w:r>
              <w:rPr>
                <w:rFonts w:hint="eastAsia" w:ascii="仿宋_GB2312" w:hAnsi="宋体" w:eastAsia="仿宋_GB2312"/>
                <w:color w:val="000000"/>
                <w:sz w:val="18"/>
                <w:szCs w:val="18"/>
                <w:highlight w:val="none"/>
              </w:rPr>
              <w:t>管理</w:t>
            </w:r>
          </w:p>
        </w:tc>
        <w:tc>
          <w:tcPr>
            <w:tcW w:w="817" w:type="dxa"/>
            <w:noWrap w:val="0"/>
            <w:vAlign w:val="center"/>
          </w:tcPr>
          <w:p>
            <w:pPr>
              <w:adjustRightInd w:val="0"/>
              <w:snapToGrid w:val="0"/>
              <w:jc w:val="center"/>
              <w:rPr>
                <w:rFonts w:hint="eastAsia" w:ascii="仿宋_GB2312" w:hAnsi="宋体" w:eastAsia="仿宋_GB2312"/>
                <w:color w:val="000000"/>
                <w:sz w:val="18"/>
                <w:szCs w:val="18"/>
                <w:highlight w:val="none"/>
                <w:lang w:eastAsia="zh-CN"/>
              </w:rPr>
            </w:pPr>
            <w:r>
              <w:rPr>
                <w:rFonts w:hint="eastAsia" w:ascii="仿宋_GB2312" w:hAnsi="宋体" w:eastAsia="仿宋_GB2312"/>
                <w:color w:val="000000"/>
                <w:sz w:val="18"/>
                <w:szCs w:val="18"/>
                <w:highlight w:val="none"/>
                <w:lang w:eastAsia="zh-CN"/>
              </w:rPr>
              <w:t>行政检查</w:t>
            </w:r>
          </w:p>
        </w:tc>
        <w:tc>
          <w:tcPr>
            <w:tcW w:w="1906" w:type="dxa"/>
            <w:noWrap w:val="0"/>
            <w:vAlign w:val="center"/>
          </w:tcPr>
          <w:p>
            <w:pPr>
              <w:pStyle w:val="8"/>
              <w:adjustRightInd w:val="0"/>
              <w:snapToGrid w:val="0"/>
              <w:ind w:firstLine="0" w:firstLineChars="0"/>
              <w:rPr>
                <w:rFonts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olor w:val="000000"/>
                <w:sz w:val="18"/>
                <w:szCs w:val="18"/>
                <w:highlight w:val="none"/>
              </w:rPr>
              <w:t>运行环节：制定方案、实施检查、事后监管；责任事项</w:t>
            </w:r>
          </w:p>
        </w:tc>
        <w:tc>
          <w:tcPr>
            <w:tcW w:w="2356" w:type="dxa"/>
            <w:noWrap w:val="0"/>
            <w:vAlign w:val="center"/>
          </w:tcPr>
          <w:p>
            <w:pPr>
              <w:adjustRightInd w:val="0"/>
              <w:snapToGrid w:val="0"/>
              <w:rPr>
                <w:rFonts w:hint="eastAsia"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olor w:val="000000"/>
                <w:sz w:val="18"/>
                <w:szCs w:val="18"/>
                <w:highlight w:val="none"/>
              </w:rPr>
              <w:t>《政府信息公开条例》、《关于全面推进政务公开工作的意见》</w:t>
            </w:r>
          </w:p>
        </w:tc>
        <w:tc>
          <w:tcPr>
            <w:tcW w:w="1413" w:type="dxa"/>
            <w:noWrap w:val="0"/>
            <w:vAlign w:val="center"/>
          </w:tcPr>
          <w:p>
            <w:pPr>
              <w:adjustRightInd w:val="0"/>
              <w:snapToGrid w:val="0"/>
              <w:rPr>
                <w:rFonts w:ascii="仿宋_GB2312" w:hAnsi="宋体" w:eastAsia="仿宋_GB2312" w:cs="Times New Roman"/>
                <w:color w:val="000000"/>
                <w:kern w:val="2"/>
                <w:sz w:val="18"/>
                <w:szCs w:val="18"/>
                <w:highlight w:val="none"/>
                <w:lang w:val="en-US" w:eastAsia="zh-CN" w:bidi="ar-SA"/>
              </w:rPr>
            </w:pPr>
            <w:r>
              <w:rPr>
                <w:rFonts w:hint="eastAsia" w:ascii="仿宋_GB2312" w:hAnsi="宋体" w:eastAsia="仿宋_GB2312"/>
                <w:color w:val="000000"/>
                <w:sz w:val="18"/>
                <w:szCs w:val="18"/>
                <w:highlight w:val="none"/>
              </w:rPr>
              <w:t>自该信息形成或者变更之日起20个工作日内</w:t>
            </w:r>
          </w:p>
        </w:tc>
        <w:tc>
          <w:tcPr>
            <w:tcW w:w="62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■两微一端</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■政务服务中心</w:t>
            </w:r>
          </w:p>
          <w:p>
            <w:pPr>
              <w:adjustRightInd w:val="0"/>
              <w:snapToGrid w:val="0"/>
              <w:rPr>
                <w:rFonts w:hint="eastAsia" w:ascii="仿宋_GB2312" w:hAnsi="宋体" w:eastAsia="仿宋_GB2312" w:cs="Times New Roman"/>
                <w:color w:val="000000"/>
                <w:kern w:val="2"/>
                <w:sz w:val="18"/>
                <w:szCs w:val="18"/>
                <w:highlight w:val="none"/>
                <w:lang w:val="en-US" w:eastAsia="zh-CN" w:bidi="ar-SA"/>
              </w:rPr>
            </w:pPr>
          </w:p>
        </w:tc>
        <w:tc>
          <w:tcPr>
            <w:tcW w:w="62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p>
        </w:tc>
        <w:tc>
          <w:tcPr>
            <w:tcW w:w="481"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s="Times New Roman"/>
                <w:color w:val="000000"/>
                <w:kern w:val="2"/>
                <w:sz w:val="18"/>
                <w:szCs w:val="18"/>
                <w:highlight w:val="none"/>
                <w:lang w:val="en-US" w:eastAsia="zh-CN" w:bidi="ar-SA"/>
              </w:rPr>
            </w:pPr>
          </w:p>
        </w:tc>
        <w:tc>
          <w:tcPr>
            <w:tcW w:w="628" w:type="dxa"/>
            <w:noWrap w:val="0"/>
            <w:vAlign w:val="center"/>
          </w:tcPr>
          <w:p>
            <w:pPr>
              <w:widowControl/>
              <w:jc w:val="center"/>
              <w:rPr>
                <w:rFonts w:hint="eastAsia" w:ascii="仿宋_GB2312" w:hAnsi="宋体" w:eastAsia="仿宋_GB2312" w:cs="Times New Roman"/>
                <w:color w:val="000000"/>
                <w:kern w:val="2"/>
                <w:sz w:val="18"/>
                <w:szCs w:val="18"/>
                <w:highlight w:val="none"/>
                <w:lang w:val="en-US" w:eastAsia="zh-CN" w:bidi="ar-SA"/>
              </w:rPr>
            </w:pPr>
          </w:p>
        </w:tc>
        <w:tc>
          <w:tcPr>
            <w:tcW w:w="628" w:type="dxa"/>
            <w:noWrap w:val="0"/>
            <w:vAlign w:val="center"/>
          </w:tcPr>
          <w:p>
            <w:pPr>
              <w:widowControl/>
              <w:jc w:val="center"/>
              <w:rPr>
                <w:rFonts w:hint="eastAsia" w:ascii="仿宋_GB2312" w:hAnsi="宋体" w:eastAsia="仿宋_GB2312" w:cs="Times New Roman"/>
                <w:color w:val="00000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default" w:ascii="仿宋_GB2312" w:hAnsi="宋体" w:eastAsia="仿宋_GB2312"/>
                <w:color w:val="000000"/>
                <w:sz w:val="18"/>
                <w:szCs w:val="18"/>
                <w:highlight w:val="none"/>
                <w:lang w:val="en-US" w:eastAsia="zh-CN"/>
              </w:rPr>
            </w:pPr>
            <w:r>
              <w:rPr>
                <w:rFonts w:hint="eastAsia" w:ascii="仿宋_GB2312" w:hAnsi="宋体"/>
                <w:color w:val="000000"/>
                <w:sz w:val="18"/>
                <w:szCs w:val="18"/>
                <w:highlight w:val="none"/>
                <w:lang w:val="en-US" w:eastAsia="zh-CN"/>
              </w:rPr>
              <w:t>11</w:t>
            </w:r>
          </w:p>
        </w:tc>
        <w:tc>
          <w:tcPr>
            <w:tcW w:w="888" w:type="dxa"/>
            <w:vMerge w:val="restart"/>
            <w:noWrap w:val="0"/>
            <w:vAlign w:val="bottom"/>
          </w:tcPr>
          <w:p>
            <w:pPr>
              <w:adjustRightInd w:val="0"/>
              <w:snapToGrid w:val="0"/>
              <w:jc w:val="center"/>
              <w:rPr>
                <w:rFonts w:hint="eastAsia" w:ascii="仿宋_GB2312" w:hAnsi="宋体" w:eastAsia="仿宋_GB2312"/>
                <w:color w:val="000000"/>
                <w:sz w:val="18"/>
                <w:szCs w:val="18"/>
                <w:highlight w:val="none"/>
                <w:lang w:eastAsia="zh-CN"/>
              </w:rPr>
            </w:pPr>
            <w:r>
              <w:rPr>
                <w:rFonts w:hint="eastAsia" w:ascii="仿宋_GB2312" w:hAnsi="宋体" w:eastAsia="仿宋_GB2312"/>
                <w:color w:val="000000"/>
                <w:sz w:val="18"/>
                <w:szCs w:val="18"/>
                <w:highlight w:val="none"/>
                <w:lang w:eastAsia="zh-CN"/>
              </w:rPr>
              <w:t>公共服务事项</w:t>
            </w:r>
          </w:p>
          <w:p>
            <w:pPr>
              <w:adjustRightInd w:val="0"/>
              <w:snapToGrid w:val="0"/>
              <w:jc w:val="center"/>
              <w:rPr>
                <w:rFonts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生态环境保护政策与业务</w:t>
            </w:r>
          </w:p>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咨询</w:t>
            </w:r>
          </w:p>
        </w:tc>
        <w:tc>
          <w:tcPr>
            <w:tcW w:w="1906"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生态环境保护政策与业务咨询答复函</w:t>
            </w:r>
          </w:p>
        </w:tc>
        <w:tc>
          <w:tcPr>
            <w:tcW w:w="2356"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《环境保护法》、《政府信息公开条例》</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自该信息形成或者变更之日起20个工作日内</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■两微一端</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■政务服务中心</w:t>
            </w:r>
          </w:p>
          <w:p>
            <w:pPr>
              <w:adjustRightInd w:val="0"/>
              <w:snapToGrid w:val="0"/>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2107" w:hRule="atLeast"/>
          <w:jc w:val="center"/>
        </w:trPr>
        <w:tc>
          <w:tcPr>
            <w:tcW w:w="471" w:type="dxa"/>
            <w:noWrap w:val="0"/>
            <w:vAlign w:val="center"/>
          </w:tcPr>
          <w:p>
            <w:pPr>
              <w:pStyle w:val="8"/>
              <w:adjustRightInd w:val="0"/>
              <w:snapToGrid w:val="0"/>
              <w:ind w:firstLine="0" w:firstLineChars="0"/>
              <w:jc w:val="center"/>
              <w:rPr>
                <w:rFonts w:hint="default" w:ascii="仿宋_GB2312" w:hAnsi="宋体" w:eastAsia="仿宋_GB2312"/>
                <w:color w:val="000000"/>
                <w:sz w:val="18"/>
                <w:szCs w:val="18"/>
                <w:highlight w:val="none"/>
                <w:lang w:val="en-US" w:eastAsia="zh-CN"/>
              </w:rPr>
            </w:pPr>
            <w:r>
              <w:rPr>
                <w:rFonts w:hint="eastAsia" w:ascii="仿宋_GB2312" w:hAnsi="宋体"/>
                <w:color w:val="000000"/>
                <w:sz w:val="18"/>
                <w:szCs w:val="18"/>
                <w:highlight w:val="none"/>
                <w:lang w:val="en-US" w:eastAsia="zh-CN"/>
              </w:rPr>
              <w:t>12</w:t>
            </w:r>
          </w:p>
        </w:tc>
        <w:tc>
          <w:tcPr>
            <w:tcW w:w="888"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生态环境主题活动组织情况</w:t>
            </w:r>
          </w:p>
        </w:tc>
        <w:tc>
          <w:tcPr>
            <w:tcW w:w="1906" w:type="dxa"/>
            <w:noWrap w:val="0"/>
            <w:vAlign w:val="center"/>
          </w:tcPr>
          <w:p>
            <w:pPr>
              <w:pStyle w:val="8"/>
              <w:adjustRightInd w:val="0"/>
              <w:snapToGrid w:val="0"/>
              <w:ind w:firstLine="0" w:firstLineChars="0"/>
              <w:rPr>
                <w:rFonts w:hint="eastAsia"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环保公众开放活动通知、活动开展情况；参观环境宣传教育基地活动开展情况；在公共场所开展环境保护宣传教育活动通知、活动开展情况；六五环境日、全国低碳日等主题宣传活动通知、活动开展情况；开展生态、环保类教育培训活动通知、活动开展情况</w:t>
            </w:r>
          </w:p>
        </w:tc>
        <w:tc>
          <w:tcPr>
            <w:tcW w:w="2356"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《环境保护法》、《政府信息公开条例》</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自该信息形成或者变更之日起20个工作日内</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■两微一端</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■政务服务中心</w:t>
            </w:r>
          </w:p>
          <w:p>
            <w:pPr>
              <w:adjustRightInd w:val="0"/>
              <w:snapToGrid w:val="0"/>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jc w:val="center"/>
        </w:trPr>
        <w:tc>
          <w:tcPr>
            <w:tcW w:w="471" w:type="dxa"/>
            <w:noWrap w:val="0"/>
            <w:vAlign w:val="center"/>
          </w:tcPr>
          <w:p>
            <w:pPr>
              <w:pStyle w:val="8"/>
              <w:adjustRightInd w:val="0"/>
              <w:snapToGrid w:val="0"/>
              <w:ind w:firstLine="0" w:firstLineChars="0"/>
              <w:jc w:val="center"/>
              <w:rPr>
                <w:rFonts w:hint="default" w:ascii="仿宋_GB2312" w:hAnsi="宋体" w:eastAsia="仿宋_GB2312"/>
                <w:color w:val="000000"/>
                <w:sz w:val="18"/>
                <w:szCs w:val="18"/>
                <w:highlight w:val="none"/>
                <w:lang w:val="en-US" w:eastAsia="zh-CN"/>
              </w:rPr>
            </w:pPr>
            <w:r>
              <w:rPr>
                <w:rFonts w:hint="eastAsia" w:ascii="仿宋_GB2312" w:hAnsi="宋体"/>
                <w:color w:val="000000"/>
                <w:sz w:val="18"/>
                <w:szCs w:val="18"/>
                <w:highlight w:val="none"/>
                <w:lang w:val="en-US" w:eastAsia="zh-CN"/>
              </w:rPr>
              <w:t>13</w:t>
            </w:r>
          </w:p>
        </w:tc>
        <w:tc>
          <w:tcPr>
            <w:tcW w:w="888" w:type="dxa"/>
            <w:vMerge w:val="continue"/>
            <w:noWrap w:val="0"/>
            <w:vAlign w:val="center"/>
          </w:tcPr>
          <w:p>
            <w:pPr>
              <w:adjustRightInd w:val="0"/>
              <w:snapToGrid w:val="0"/>
              <w:rPr>
                <w:rFonts w:ascii="仿宋_GB2312" w:hAnsi="宋体" w:eastAsia="仿宋_GB2312"/>
                <w:color w:val="000000"/>
                <w:sz w:val="18"/>
                <w:szCs w:val="18"/>
                <w:highlight w:val="none"/>
              </w:rPr>
            </w:pPr>
          </w:p>
        </w:tc>
        <w:tc>
          <w:tcPr>
            <w:tcW w:w="817" w:type="dxa"/>
            <w:noWrap w:val="0"/>
            <w:vAlign w:val="center"/>
          </w:tcPr>
          <w:p>
            <w:pPr>
              <w:adjustRightInd w:val="0"/>
              <w:snapToGrid w:val="0"/>
              <w:jc w:val="center"/>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生态环境污染举报咨询</w:t>
            </w:r>
          </w:p>
        </w:tc>
        <w:tc>
          <w:tcPr>
            <w:tcW w:w="1906"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生态环境</w:t>
            </w:r>
            <w:r>
              <w:rPr>
                <w:rFonts w:ascii="仿宋_GB2312" w:hAnsi="宋体" w:eastAsia="仿宋_GB2312"/>
                <w:color w:val="000000"/>
                <w:sz w:val="18"/>
                <w:szCs w:val="18"/>
                <w:highlight w:val="none"/>
              </w:rPr>
              <w:t>举报、</w:t>
            </w:r>
            <w:r>
              <w:rPr>
                <w:rFonts w:hint="eastAsia" w:ascii="仿宋_GB2312" w:hAnsi="宋体" w:eastAsia="仿宋_GB2312"/>
                <w:color w:val="000000"/>
                <w:sz w:val="18"/>
                <w:szCs w:val="18"/>
                <w:highlight w:val="none"/>
              </w:rPr>
              <w:t>咨询方式（电话、地址等）</w:t>
            </w:r>
          </w:p>
        </w:tc>
        <w:tc>
          <w:tcPr>
            <w:tcW w:w="2356"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《环境保护法》、《政府信息公开条例》、《环境信访办法》</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自该信息形成或者变更之日起20个工作日内</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中山市</w:t>
            </w:r>
            <w:r>
              <w:rPr>
                <w:rFonts w:hint="eastAsia" w:ascii="仿宋_GB2312" w:hAnsi="宋体"/>
                <w:color w:val="000000"/>
                <w:sz w:val="18"/>
                <w:szCs w:val="18"/>
                <w:highlight w:val="none"/>
                <w:lang w:eastAsia="zh-CN"/>
              </w:rPr>
              <w:t>板芙</w:t>
            </w:r>
            <w:r>
              <w:rPr>
                <w:rFonts w:ascii="仿宋_GB2312" w:hAnsi="宋体" w:eastAsia="仿宋_GB2312"/>
                <w:color w:val="000000"/>
                <w:sz w:val="18"/>
                <w:szCs w:val="18"/>
                <w:highlight w:val="none"/>
              </w:rPr>
              <w:t>镇人民政府</w:t>
            </w:r>
          </w:p>
        </w:tc>
        <w:tc>
          <w:tcPr>
            <w:tcW w:w="1413" w:type="dxa"/>
            <w:noWrap w:val="0"/>
            <w:vAlign w:val="center"/>
          </w:tcPr>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■政府网站</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■两微一端</w:t>
            </w:r>
          </w:p>
          <w:p>
            <w:pPr>
              <w:adjustRightInd w:val="0"/>
              <w:snapToGrid w:val="0"/>
              <w:rPr>
                <w:rFonts w:ascii="仿宋_GB2312" w:hAnsi="宋体" w:eastAsia="仿宋_GB2312"/>
                <w:color w:val="000000"/>
                <w:sz w:val="18"/>
                <w:szCs w:val="18"/>
                <w:highlight w:val="none"/>
              </w:rPr>
            </w:pPr>
            <w:r>
              <w:rPr>
                <w:rFonts w:hint="eastAsia" w:ascii="仿宋_GB2312" w:hAnsi="宋体" w:eastAsia="仿宋_GB2312"/>
                <w:color w:val="000000"/>
                <w:sz w:val="18"/>
                <w:szCs w:val="18"/>
                <w:highlight w:val="none"/>
              </w:rPr>
              <w:t>■政务服务中心</w:t>
            </w:r>
          </w:p>
          <w:p>
            <w:pPr>
              <w:adjustRightInd w:val="0"/>
              <w:snapToGrid w:val="0"/>
              <w:rPr>
                <w:rFonts w:ascii="仿宋_GB2312" w:hAnsi="宋体" w:eastAsia="仿宋_GB2312"/>
                <w:color w:val="000000"/>
                <w:sz w:val="18"/>
                <w:szCs w:val="18"/>
                <w:highlight w:val="none"/>
              </w:rPr>
            </w:pP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18" w:type="dxa"/>
            <w:noWrap w:val="0"/>
            <w:vAlign w:val="center"/>
          </w:tcPr>
          <w:p>
            <w:pPr>
              <w:adjustRightInd w:val="0"/>
              <w:snapToGrid w:val="0"/>
              <w:jc w:val="center"/>
              <w:rPr>
                <w:rFonts w:ascii="仿宋_GB2312" w:hAnsi="宋体" w:eastAsia="仿宋_GB2312"/>
                <w:color w:val="000000"/>
                <w:sz w:val="18"/>
                <w:szCs w:val="18"/>
                <w:highlight w:val="none"/>
              </w:rPr>
            </w:pPr>
          </w:p>
        </w:tc>
        <w:tc>
          <w:tcPr>
            <w:tcW w:w="481" w:type="dxa"/>
            <w:noWrap w:val="0"/>
            <w:vAlign w:val="center"/>
          </w:tcPr>
          <w:p>
            <w:pPr>
              <w:adjustRightInd w:val="0"/>
              <w:snapToGrid w:val="0"/>
              <w:jc w:val="center"/>
              <w:rPr>
                <w:rFonts w:ascii="仿宋_GB2312" w:hAnsi="宋体" w:eastAsia="仿宋_GB2312"/>
                <w:color w:val="000000"/>
                <w:sz w:val="18"/>
                <w:szCs w:val="18"/>
                <w:highlight w:val="none"/>
              </w:rPr>
            </w:pPr>
            <w:r>
              <w:rPr>
                <w:rFonts w:ascii="仿宋_GB2312" w:hAnsi="宋体" w:eastAsia="仿宋_GB2312"/>
                <w:color w:val="000000"/>
                <w:sz w:val="18"/>
                <w:szCs w:val="18"/>
                <w:highlight w:val="none"/>
              </w:rPr>
              <w:t>√</w:t>
            </w:r>
          </w:p>
        </w:tc>
        <w:tc>
          <w:tcPr>
            <w:tcW w:w="628" w:type="dxa"/>
            <w:noWrap w:val="0"/>
            <w:vAlign w:val="center"/>
          </w:tcPr>
          <w:p>
            <w:pPr>
              <w:adjustRightInd w:val="0"/>
              <w:snapToGrid w:val="0"/>
              <w:jc w:val="center"/>
              <w:rPr>
                <w:rFonts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c>
          <w:tcPr>
            <w:tcW w:w="628" w:type="dxa"/>
            <w:noWrap w:val="0"/>
            <w:vAlign w:val="center"/>
          </w:tcPr>
          <w:p>
            <w:pPr>
              <w:widowControl/>
              <w:jc w:val="center"/>
              <w:rPr>
                <w:rFonts w:hint="eastAsia" w:ascii="仿宋_GB2312" w:hAnsi="宋体" w:eastAsia="仿宋_GB2312"/>
                <w:color w:val="000000"/>
                <w:sz w:val="18"/>
                <w:szCs w:val="18"/>
                <w:highlight w:val="none"/>
              </w:rPr>
            </w:pPr>
          </w:p>
        </w:tc>
      </w:tr>
    </w:tbl>
    <w:p>
      <w:pPr>
        <w:rPr>
          <w:rFonts w:hint="eastAsia" w:ascii="仿宋_GB2312" w:hAnsi="仿宋_GB2312" w:eastAsia="仿宋_GB2312" w:cs="仿宋_GB2312"/>
          <w:color w:val="FF0000"/>
          <w:sz w:val="28"/>
          <w:szCs w:val="32"/>
          <w:lang w:val="en-US" w:eastAsia="zh-CN"/>
        </w:rPr>
      </w:pPr>
    </w:p>
    <w:p>
      <w:pPr>
        <w:spacing w:line="360" w:lineRule="exact"/>
        <w:rPr>
          <w:rFonts w:hint="eastAsia" w:ascii="仿宋_GB2312" w:hAnsi="仿宋_GB2312" w:cs="仿宋_GB2312"/>
          <w:sz w:val="24"/>
          <w:szCs w:val="24"/>
        </w:rPr>
        <w:sectPr>
          <w:pgSz w:w="16838" w:h="11906" w:orient="landscape"/>
          <w:pgMar w:top="1797" w:right="1440" w:bottom="1797" w:left="1712" w:header="851" w:footer="1361" w:gutter="0"/>
          <w:cols w:space="720" w:num="1"/>
          <w:docGrid w:type="linesAndChars" w:linePitch="593" w:charSpace="-64"/>
        </w:sectPr>
      </w:pPr>
    </w:p>
    <w:p>
      <w:pPr>
        <w:spacing w:line="360" w:lineRule="exact"/>
        <w:rPr>
          <w:rFonts w:hint="eastAsia" w:ascii="仿宋_GB2312" w:hAnsi="仿宋_GB2312" w:cs="仿宋_GB2312"/>
          <w:sz w:val="24"/>
          <w:szCs w:val="24"/>
        </w:rPr>
      </w:pPr>
    </w:p>
    <w:p/>
    <w:sectPr>
      <w:type w:val="continuous"/>
      <w:pgSz w:w="16838" w:h="11906" w:orient="landscape"/>
      <w:pgMar w:top="1797" w:right="1440" w:bottom="1797" w:left="1712" w:header="851" w:footer="1361" w:gutter="0"/>
      <w:cols w:space="720" w:num="1"/>
      <w:docGrid w:type="linesAndChars" w:linePitch="593" w:charSpace="-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D7E2C"/>
    <w:rsid w:val="0FB63142"/>
    <w:rsid w:val="41E431BA"/>
    <w:rsid w:val="623D7E2C"/>
    <w:rsid w:val="65786360"/>
    <w:rsid w:val="76E70A04"/>
    <w:rsid w:val="7D490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公文小标宋简"/>
      <w:b/>
      <w:color w:val="FF0000"/>
      <w:kern w:val="44"/>
      <w:sz w:val="7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2020-11-03T02:46:00Z</dcterms:created>
  <dc:creator>Administrator</dc:creator>
  <cp:lastModifiedBy>郑伟权</cp:lastModifiedBy>
  <dcterms:modified xsi:type="dcterms:W3CDTF">2023-04-25T03:33:57Z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CC584776273C4A65B53E5B794927AF70</vt:lpwstr>
  </property>
</Properties>
</file>