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4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中山市黄圃镇三社股份合作经济联合社</w:t>
      </w:r>
    </w:p>
    <w:p>
      <w:pPr>
        <w:widowControl w:val="0"/>
        <w:spacing w:line="574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“工改工”项目“三旧”改造方案</w:t>
      </w:r>
    </w:p>
    <w:p>
      <w:pPr>
        <w:spacing w:line="240" w:lineRule="auto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</w:p>
    <w:p>
      <w:pPr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根据中山市城市更新（“三旧”改造）专项规划和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u w:val="none"/>
          <w:lang w:eastAsia="zh-CN"/>
        </w:rPr>
        <w:t>经批复规划条件论证</w:t>
      </w:r>
      <w:r>
        <w:rPr>
          <w:rFonts w:hint="eastAsia" w:ascii="仿宋_GB2312" w:eastAsia="仿宋_GB2312"/>
          <w:sz w:val="32"/>
          <w:szCs w:val="32"/>
          <w:highlight w:val="none"/>
        </w:rPr>
        <w:t>，中山市黄圃镇人民政府拟对位于黄圃镇岭</w:t>
      </w:r>
      <w:r>
        <w:rPr>
          <w:rFonts w:hint="eastAsia" w:ascii="仿宋_GB2312" w:eastAsia="仿宋_GB2312"/>
          <w:sz w:val="32"/>
          <w:szCs w:val="32"/>
        </w:rPr>
        <w:t>栏路鲤鱼嘴地段的旧厂房用地进行改造，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</w:rPr>
        <w:t>中山市黄圃镇三社股份合作经济联合社（下称“三社经联社”）自主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，改造方式为全面改造。</w:t>
      </w:r>
      <w:r>
        <w:rPr>
          <w:rFonts w:hint="eastAsia" w:ascii="仿宋_GB2312" w:eastAsia="仿宋_GB2312"/>
          <w:sz w:val="32"/>
          <w:szCs w:val="32"/>
        </w:rPr>
        <w:t>改造方案如下：</w:t>
      </w:r>
    </w:p>
    <w:p>
      <w:pPr>
        <w:numPr>
          <w:ilvl w:val="0"/>
          <w:numId w:val="1"/>
        </w:num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改造地块基本情况</w:t>
      </w:r>
    </w:p>
    <w:p>
      <w:pPr>
        <w:ind w:firstLine="616"/>
        <w:jc w:val="both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（一）</w:t>
      </w:r>
      <w:r>
        <w:rPr>
          <w:rFonts w:ascii="楷体" w:hAnsi="楷体" w:eastAsia="楷体" w:cs="Times New Roman"/>
          <w:spacing w:val="-6"/>
          <w:kern w:val="2"/>
          <w:sz w:val="32"/>
          <w:szCs w:val="32"/>
        </w:rPr>
        <w:t>总体情况</w:t>
      </w: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。</w:t>
      </w:r>
      <w:r>
        <w:rPr>
          <w:rFonts w:hint="eastAsia" w:ascii="仿宋_GB2312" w:eastAsia="仿宋_GB2312"/>
          <w:spacing w:val="-6"/>
          <w:sz w:val="32"/>
          <w:szCs w:val="32"/>
        </w:rPr>
        <w:t>改造地块位于岭栏路鲤鱼嘴地段，东邻现状田地，南至岭栏路，西至鲤鱼嘴山，北邻桂洲水道，用地面积1.5341公顷（15340.73平方米，折合23.01亩）。</w:t>
      </w:r>
    </w:p>
    <w:p>
      <w:pPr>
        <w:ind w:firstLine="61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（二）标图入库情况</w:t>
      </w:r>
      <w:r>
        <w:rPr>
          <w:rFonts w:hint="eastAsia" w:ascii="楷体_GB2312" w:eastAsia="楷体_GB2312" w:cs="Times New Roman"/>
          <w:spacing w:val="-6"/>
          <w:kern w:val="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改造地块已于2015年6月全部纳入“三旧”标图入库，图斑编号44200043620、44200043681，图斑面积1.5341公顷（15340.73平方米，折合23.01亩），纳入本次改造范围。</w:t>
      </w:r>
    </w:p>
    <w:p>
      <w:pPr>
        <w:ind w:firstLine="616"/>
        <w:jc w:val="both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（三）权属情况。</w:t>
      </w:r>
      <w:r>
        <w:rPr>
          <w:rFonts w:hint="eastAsia" w:ascii="仿宋_GB2312" w:eastAsia="仿宋_GB2312" w:cs="仿宋_GB2312"/>
          <w:sz w:val="32"/>
          <w:szCs w:val="32"/>
        </w:rPr>
        <w:t>改造范围内</w:t>
      </w:r>
      <w:r>
        <w:rPr>
          <w:rFonts w:ascii="仿宋_GB2312" w:eastAsia="仿宋_GB2312" w:cs="仿宋_GB2312"/>
          <w:sz w:val="32"/>
          <w:szCs w:val="32"/>
        </w:rPr>
        <w:t>用地</w:t>
      </w:r>
      <w:r>
        <w:rPr>
          <w:rFonts w:hint="eastAsia" w:ascii="仿宋_GB2312" w:eastAsia="仿宋_GB2312" w:cs="仿宋_GB2312"/>
          <w:sz w:val="32"/>
          <w:szCs w:val="32"/>
        </w:rPr>
        <w:t>全部属</w:t>
      </w:r>
      <w:r>
        <w:rPr>
          <w:rFonts w:hint="eastAsia" w:ascii="仿宋_GB2312" w:eastAsia="仿宋_GB2312"/>
          <w:sz w:val="32"/>
          <w:szCs w:val="32"/>
        </w:rPr>
        <w:t>中山市黄圃镇三社股份合作经济联合社农民集体</w:t>
      </w:r>
      <w:r>
        <w:rPr>
          <w:rFonts w:hint="eastAsia" w:ascii="仿宋_GB2312" w:eastAsia="仿宋_GB2312" w:cs="仿宋_GB2312"/>
          <w:sz w:val="32"/>
          <w:szCs w:val="32"/>
        </w:rPr>
        <w:t>名下的集体土地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所有权证号为粤（202</w:t>
      </w:r>
      <w:r>
        <w:rPr>
          <w:rFonts w:asci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）中山市不动产权第</w:t>
      </w:r>
      <w:r>
        <w:rPr>
          <w:rFonts w:ascii="仿宋_GB2312" w:eastAsia="仿宋_GB2312" w:cs="仿宋_GB2312"/>
          <w:color w:val="auto"/>
          <w:sz w:val="32"/>
          <w:szCs w:val="32"/>
        </w:rPr>
        <w:t>0076765</w:t>
      </w:r>
      <w:r>
        <w:rPr>
          <w:rFonts w:hint="eastAsia" w:ascii="仿宋_GB2312" w:eastAsia="仿宋_GB2312" w:cs="仿宋_GB2312"/>
          <w:sz w:val="32"/>
          <w:szCs w:val="32"/>
        </w:rPr>
        <w:t>号，无合法用地手续，由三社社区于1998年开始使用。</w:t>
      </w:r>
    </w:p>
    <w:p>
      <w:pPr>
        <w:spacing w:line="574" w:lineRule="exact"/>
        <w:ind w:firstLine="616"/>
        <w:jc w:val="both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（四）土地现状情况。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/>
        </w:rPr>
        <w:t>改造地块</w:t>
      </w:r>
      <w:r>
        <w:rPr>
          <w:rFonts w:hint="default" w:ascii="Times New Roman" w:eastAsia="仿宋_GB2312" w:cs="Times New Roman"/>
          <w:sz w:val="32"/>
          <w:szCs w:val="32"/>
        </w:rPr>
        <w:t>1.5341公顷（折合23.01亩）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不涉及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spacing w:line="574" w:lineRule="exact"/>
        <w:ind w:firstLine="61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改造地块现状为建设用地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1.5341公顷（折合23.01亩）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，不涉及农用地、未利用地。</w:t>
      </w:r>
    </w:p>
    <w:p>
      <w:pPr>
        <w:ind w:firstLine="616"/>
        <w:jc w:val="both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改造地块现用途为工业，现有建筑物8</w:t>
      </w:r>
      <w:r>
        <w:rPr>
          <w:rFonts w:hint="default" w:ascii="仿宋_GB2312" w:eastAsia="仿宋_GB2312"/>
          <w:sz w:val="32"/>
          <w:szCs w:val="32"/>
          <w:highlight w:val="none"/>
        </w:rPr>
        <w:t>幢，</w:t>
      </w:r>
      <w:r>
        <w:rPr>
          <w:rFonts w:hint="default" w:ascii="仿宋_GB2312" w:eastAsia="仿宋_GB2312"/>
          <w:sz w:val="32"/>
          <w:szCs w:val="32"/>
        </w:rPr>
        <w:t>无合法规划报建手续，由三社社区于</w:t>
      </w:r>
      <w:r>
        <w:rPr>
          <w:rFonts w:ascii="仿宋_GB2312" w:eastAsia="仿宋_GB2312"/>
          <w:sz w:val="32"/>
          <w:szCs w:val="32"/>
        </w:rPr>
        <w:t>1998</w:t>
      </w:r>
      <w:r>
        <w:rPr>
          <w:rFonts w:hint="default" w:ascii="仿宋_GB2312" w:eastAsia="仿宋_GB2312"/>
          <w:sz w:val="32"/>
          <w:szCs w:val="32"/>
        </w:rPr>
        <w:t>年出租作为厂房以及配套仓储使用，现有建筑面积</w:t>
      </w:r>
      <w:r>
        <w:rPr>
          <w:rFonts w:ascii="仿宋_GB2312" w:eastAsia="仿宋_GB2312"/>
          <w:sz w:val="32"/>
          <w:szCs w:val="32"/>
        </w:rPr>
        <w:t>14537.3</w:t>
      </w:r>
      <w:r>
        <w:rPr>
          <w:rFonts w:hint="default" w:ascii="仿宋_GB2312" w:eastAsia="仿宋_GB2312"/>
          <w:sz w:val="32"/>
          <w:szCs w:val="32"/>
        </w:rPr>
        <w:t>2平方米，现状容积率为</w:t>
      </w:r>
      <w:r>
        <w:rPr>
          <w:rFonts w:ascii="仿宋_GB2312" w:eastAsia="仿宋_GB2312"/>
          <w:sz w:val="32"/>
          <w:szCs w:val="32"/>
          <w:highlight w:val="none"/>
        </w:rPr>
        <w:t>0.95</w:t>
      </w:r>
      <w:r>
        <w:rPr>
          <w:rFonts w:hint="default" w:ascii="仿宋_GB2312" w:eastAsia="仿宋_GB2312"/>
          <w:sz w:val="32"/>
          <w:szCs w:val="32"/>
        </w:rPr>
        <w:t>，目前已拆除建筑面积0平方米。改造前年产值约2000万元，年税收约</w:t>
      </w:r>
      <w:r>
        <w:rPr>
          <w:rFonts w:ascii="仿宋_GB2312" w:eastAsia="仿宋_GB2312"/>
          <w:sz w:val="32"/>
          <w:szCs w:val="32"/>
          <w:highlight w:val="none"/>
        </w:rPr>
        <w:t>50</w:t>
      </w:r>
      <w:r>
        <w:rPr>
          <w:rFonts w:hint="default" w:ascii="仿宋_GB2312" w:eastAsia="仿宋_GB2312"/>
          <w:sz w:val="32"/>
          <w:szCs w:val="32"/>
          <w:highlight w:val="none"/>
        </w:rPr>
        <w:t>万元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改造地块不涉及闲置、抵押、历史文化资源要素等情况。</w:t>
      </w:r>
    </w:p>
    <w:p>
      <w:pPr>
        <w:ind w:firstLine="616"/>
        <w:jc w:val="both"/>
        <w:rPr>
          <w:rFonts w:ascii="仿宋_GB2312" w:eastAsia="仿宋_GB2312"/>
          <w:color w:val="558ED5" w:themeColor="text2" w:themeTint="99"/>
          <w:sz w:val="32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（五）规划情况。</w:t>
      </w:r>
      <w:r>
        <w:rPr>
          <w:rFonts w:hint="default" w:ascii="仿宋_GB2312" w:eastAsia="仿宋_GB2312"/>
          <w:sz w:val="32"/>
          <w:szCs w:val="32"/>
        </w:rPr>
        <w:t>改造地块符合国土空间规划、土地利用总体规划、控制性详细规划，并已纳入现行《中山市“三旧”改造（城市更新）专项规划（2020-2035）》更新范围。其中，在《中山市国土空间总体规划（2020-2035）》（在编）中，</w:t>
      </w:r>
      <w:r>
        <w:rPr>
          <w:rFonts w:hint="default" w:ascii="仿宋_GB2312" w:eastAsia="仿宋_GB2312"/>
          <w:spacing w:val="-6"/>
          <w:sz w:val="32"/>
          <w:szCs w:val="32"/>
        </w:rPr>
        <w:t>1.5341公顷（15340.73平方米，折合23.01亩）</w:t>
      </w:r>
      <w:r>
        <w:rPr>
          <w:rFonts w:hint="default" w:ascii="仿宋_GB2312" w:eastAsia="仿宋_GB2312"/>
          <w:sz w:val="32"/>
          <w:szCs w:val="32"/>
        </w:rPr>
        <w:t>均属工业用地</w:t>
      </w:r>
      <w:r>
        <w:rPr>
          <w:rFonts w:hint="default" w:ascii="仿宋_GB2312" w:eastAsia="仿宋_GB2312"/>
          <w:spacing w:val="-6"/>
          <w:sz w:val="32"/>
          <w:szCs w:val="32"/>
        </w:rPr>
        <w:t>。</w:t>
      </w:r>
      <w:r>
        <w:rPr>
          <w:rFonts w:hint="default" w:ascii="仿宋_GB2312" w:eastAsia="仿宋_GB2312"/>
          <w:sz w:val="32"/>
          <w:szCs w:val="32"/>
        </w:rPr>
        <w:t>在《黄圃镇土地利用总体规划（2010-2020年）调整完善》中，</w:t>
      </w:r>
      <w:r>
        <w:rPr>
          <w:rFonts w:hint="default" w:ascii="仿宋_GB2312" w:eastAsia="仿宋_GB2312"/>
          <w:spacing w:val="-6"/>
          <w:sz w:val="32"/>
          <w:szCs w:val="32"/>
        </w:rPr>
        <w:t>1.5341公顷（15340.73平方米，折合23.01亩）</w:t>
      </w:r>
      <w:r>
        <w:rPr>
          <w:rFonts w:hint="default" w:ascii="仿宋_GB2312" w:eastAsia="仿宋_GB2312"/>
          <w:sz w:val="32"/>
          <w:szCs w:val="32"/>
        </w:rPr>
        <w:t>均属城镇建设用地</w:t>
      </w:r>
      <w:r>
        <w:rPr>
          <w:rFonts w:hint="default" w:ascii="仿宋_GB2312" w:eastAsia="仿宋_GB2312"/>
          <w:spacing w:val="-6"/>
          <w:sz w:val="32"/>
          <w:szCs w:val="32"/>
        </w:rPr>
        <w:t>。</w:t>
      </w:r>
      <w:r>
        <w:rPr>
          <w:rFonts w:hint="default" w:ascii="仿宋_GB2312" w:eastAsia="仿宋_GB2312"/>
          <w:sz w:val="32"/>
          <w:szCs w:val="32"/>
        </w:rPr>
        <w:t>在《中山市黄圃镇工业用地规划条件论证报告》（中府函〔2022〕275号）中，</w:t>
      </w:r>
      <w:r>
        <w:rPr>
          <w:rFonts w:hint="default" w:ascii="仿宋_GB2312" w:eastAsia="仿宋_GB2312"/>
          <w:spacing w:val="0"/>
          <w:sz w:val="32"/>
          <w:szCs w:val="32"/>
        </w:rPr>
        <w:t>1.5341公顷（15340.73平方米，折合23.01亩）</w:t>
      </w:r>
      <w:r>
        <w:rPr>
          <w:rFonts w:hint="default" w:ascii="仿宋_GB2312" w:eastAsia="仿宋_GB2312"/>
          <w:sz w:val="32"/>
          <w:szCs w:val="32"/>
        </w:rPr>
        <w:t>均属一类工业用地，规划容积率1.0-3.5，建筑密度35%-60%，绿地率10%-15%，建筑限高50米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（配套设施建筑高度不超过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100米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highlight w:val="none"/>
        </w:rPr>
        <w:t>。</w:t>
      </w:r>
    </w:p>
    <w:p>
      <w:pPr>
        <w:ind w:firstLine="64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改造项目</w:t>
      </w:r>
      <w:r>
        <w:rPr>
          <w:rFonts w:hint="eastAsia" w:eastAsia="仿宋_GB2312"/>
          <w:sz w:val="32"/>
          <w:szCs w:val="32"/>
        </w:rPr>
        <w:t>位于城镇开发边界内，</w:t>
      </w:r>
      <w:r>
        <w:rPr>
          <w:rFonts w:eastAsia="仿宋_GB2312"/>
          <w:sz w:val="32"/>
          <w:szCs w:val="32"/>
        </w:rPr>
        <w:t>不涉及永久基本农田、生态保护红线等管控要求。</w:t>
      </w:r>
      <w:r>
        <w:rPr>
          <w:rFonts w:hint="eastAsia" w:eastAsia="仿宋_GB2312"/>
          <w:sz w:val="32"/>
          <w:szCs w:val="32"/>
          <w:highlight w:val="none"/>
        </w:rPr>
        <w:t>改造范围</w:t>
      </w:r>
      <w:r>
        <w:rPr>
          <w:rFonts w:hint="eastAsia" w:eastAsia="仿宋_GB2312"/>
          <w:sz w:val="32"/>
          <w:szCs w:val="32"/>
        </w:rPr>
        <w:t>北侧邻近省主要河道大魁沥河道管理范围的部分已依据《中山市人民政府关于划定外江及岐江河管理范围的公告》中划定的河道管理范围做好退让，符合《中山市市域蓝线规划（2020）》相关管控要求。</w:t>
      </w:r>
    </w:p>
    <w:p>
      <w:pPr>
        <w:ind w:firstLine="643"/>
        <w:jc w:val="both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二、改造意愿及补偿情况</w:t>
      </w:r>
    </w:p>
    <w:p>
      <w:pPr>
        <w:spacing w:line="360" w:lineRule="auto"/>
        <w:ind w:firstLine="616"/>
        <w:jc w:val="both"/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</w:rPr>
        <w:t>一</w:t>
      </w: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）改造意愿情况</w:t>
      </w:r>
      <w:r>
        <w:rPr>
          <w:rFonts w:hint="eastAsia" w:ascii="楷体_GB2312" w:eastAsia="楷体_GB2312" w:cs="Times New Roman"/>
          <w:spacing w:val="-6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改造地块涉及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个权利主体，三社经联社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按照法律法规及中山市“三旧”改造政策规定，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就改造范围、土地现状、改造主体及拟改造情况等事项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充分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征求三社股份合作经济联合社和村民的意见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三社经联社股东代表大会三分之二以上成员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表决，同意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将涉及土地、房屋纳入改造范围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将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9081公顷（9080.89平方米，折合</w:t>
      </w:r>
      <w:r>
        <w:rPr>
          <w:rFonts w:ascii="仿宋_GB2312" w:hAnsi="仿宋_GB2312" w:eastAsia="仿宋_GB2312" w:cs="仿宋_GB2312"/>
          <w:spacing w:val="-6"/>
          <w:sz w:val="32"/>
          <w:szCs w:val="32"/>
          <w:lang w:bidi="ar"/>
        </w:rPr>
        <w:t>13.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"/>
        </w:rPr>
        <w:t>62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（以下称“</w:t>
      </w: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A地块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”）办理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集体土地完善转用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手续并自愿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转为国有建设用地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；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0.6260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公顷（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 xml:space="preserve">6259.83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平方米，折合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9.39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（以下称“</w:t>
      </w: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B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地块”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办理集体土地完善转用手续。</w:t>
      </w:r>
    </w:p>
    <w:p>
      <w:pPr>
        <w:ind w:firstLine="616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（二）补偿安置情况</w:t>
      </w:r>
      <w:r>
        <w:rPr>
          <w:rFonts w:hint="eastAsia" w:ascii="楷体_GB2312" w:eastAsia="楷体_GB2312" w:cs="Times New Roman"/>
          <w:spacing w:val="-6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改造地块不涉及补偿安置情况。</w:t>
      </w:r>
    </w:p>
    <w:p>
      <w:pPr>
        <w:numPr>
          <w:ilvl w:val="0"/>
          <w:numId w:val="2"/>
        </w:numPr>
        <w:ind w:firstLine="61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Times New Roman"/>
          <w:spacing w:val="-6"/>
          <w:kern w:val="2"/>
          <w:sz w:val="32"/>
          <w:szCs w:val="32"/>
        </w:rPr>
        <w:t>开展社会稳定风险评估情况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改造地块范围涉及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征收土地的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块0.9081公顷（9080.89平方米，折合13.62亩），中山市黄圃镇人民政府已按规定开展社会稳定风险评估，根据社会稳定风险初步评估结果，本改造项目风险等级为低风险，其中社区居民均对本项目改造持支持态度，经营厂企方存在的风险</w:t>
      </w:r>
      <w:r>
        <w:rPr>
          <w:rFonts w:hint="eastAsia" w:ascii="仿宋_GB2312" w:eastAsia="仿宋_GB2312"/>
          <w:sz w:val="32"/>
          <w:szCs w:val="32"/>
        </w:rPr>
        <w:t>主要是对搬迁补偿担忧的风险。</w:t>
      </w:r>
    </w:p>
    <w:p>
      <w:pPr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具体的风险防范与化解措施为：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加大信息公开力度，让现经营厂企均能了解我市相关制度和清退补偿标准；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 xml:space="preserve"> 结合中山市政府发布的相关补偿标准，合理、公平、公正补偿；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实行“一对一”的沟通机制：根据租赁合同，由社区与租户沟通，租户与经营厂企沟通及协商。</w:t>
      </w:r>
    </w:p>
    <w:p>
      <w:pPr>
        <w:pStyle w:val="23"/>
        <w:ind w:firstLine="616" w:firstLineChars="200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责任主体为中山市黄圃镇人民政府，协助单位为综治维稳信访部门、公安部门等。</w:t>
      </w:r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三、改造主体及拟改造情况</w:t>
      </w:r>
    </w:p>
    <w:p>
      <w:pPr>
        <w:pStyle w:val="43"/>
        <w:numPr>
          <w:ilvl w:val="0"/>
          <w:numId w:val="3"/>
        </w:numPr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改造主体状况</w:t>
      </w:r>
    </w:p>
    <w:p>
      <w:pPr>
        <w:ind w:firstLine="640"/>
        <w:jc w:val="both"/>
        <w:rPr>
          <w:rFonts w:ascii="仿宋_GB2312" w:eastAsia="仿宋_GB2312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</w:rPr>
        <w:t>该改造项目属“工改工”宗地项目，拟采取产权人自主改造方式，拟实施全面改造。由三社经联社作为改造主体。</w:t>
      </w:r>
    </w:p>
    <w:p>
      <w:pPr>
        <w:pStyle w:val="43"/>
        <w:numPr>
          <w:ilvl w:val="0"/>
          <w:numId w:val="3"/>
        </w:numPr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拟改造情况</w:t>
      </w:r>
    </w:p>
    <w:p>
      <w:pPr>
        <w:ind w:firstLine="61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项目改造后将用于建设工业厂房。</w:t>
      </w:r>
      <w:r>
        <w:rPr>
          <w:rFonts w:hint="eastAsia" w:ascii="仿宋_GB2312" w:eastAsia="仿宋_GB2312"/>
          <w:sz w:val="32"/>
          <w:szCs w:val="32"/>
        </w:rPr>
        <w:t>在符合《中山市黄圃镇工业用地规划条件论证报告》（中府函〔2022〕275号）的基础上，容积率不超过3.5，不低于1.5，项目总建筑面积不小于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26400</w:t>
      </w:r>
      <w:r>
        <w:rPr>
          <w:rFonts w:hint="eastAsia" w:ascii="仿宋_GB2312" w:eastAsia="仿宋_GB2312"/>
          <w:sz w:val="32"/>
          <w:szCs w:val="32"/>
        </w:rPr>
        <w:t>平方米，不保留原有建筑。</w:t>
      </w:r>
    </w:p>
    <w:p>
      <w:pPr>
        <w:spacing w:line="360" w:lineRule="auto"/>
        <w:ind w:firstLine="616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eastAsia="仿宋_GB2312" w:cs="仿宋_GB2312"/>
          <w:spacing w:val="-6"/>
          <w:sz w:val="32"/>
          <w:szCs w:val="32"/>
        </w:rPr>
        <w:t>未来项目以智能电器研发生产为主，含智能商用、智能家用电器一站式及引入为其配套的上下游优质企业进驻，为优质企业量身定制优质厂区。项目引入企业符合国家《产业结构调整指导目录》、《中山市涉挥发性有机物项目环保准入管理规定》等文件相关规定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改造后投资强度不低于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600万元/亩</w:t>
      </w:r>
      <w:r>
        <w:rPr>
          <w:rFonts w:hint="eastAsia" w:ascii="仿宋_GB2312" w:eastAsia="仿宋_GB2312" w:cs="仿宋_GB2312"/>
          <w:spacing w:val="-6"/>
          <w:sz w:val="32"/>
          <w:szCs w:val="32"/>
        </w:rPr>
        <w:t>，自约定竣工当年起五个完整自然年度内，须其中一个完整自然年年产值不少于600万元/亩，自约定竣工当年起五个完整自然年度内，须其中一个完整自然年年税收不少于30万元/亩。</w:t>
      </w:r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四、需办理的用地手续</w:t>
      </w:r>
    </w:p>
    <w:p>
      <w:pPr>
        <w:ind w:firstLine="616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bookmarkStart w:id="0" w:name="OLE_LINK19"/>
      <w:bookmarkStart w:id="1" w:name="OLE_LINK2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改造范围内A地块</w:t>
      </w:r>
      <w:r>
        <w:rPr>
          <w:rFonts w:hint="eastAsia" w:ascii="仿宋_GB2312" w:eastAsia="仿宋_GB2312" w:cs="仿宋_GB2312"/>
          <w:sz w:val="32"/>
          <w:szCs w:val="32"/>
        </w:rPr>
        <w:t>0.9081公顷（9080.89平方米，折合13.62亩）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用地需办理集体土地完善转用手续，由三社经联社自愿申请将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该集体建设用地转为国有建设用地。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上述用地完善转用、集转国手续后，依据</w:t>
      </w:r>
      <w:r>
        <w:rPr>
          <w:rFonts w:hint="eastAsia" w:ascii="仿宋_GB2312" w:eastAsia="仿宋_GB2312"/>
          <w:sz w:val="32"/>
          <w:szCs w:val="32"/>
        </w:rPr>
        <w:t>《中山市黄圃镇工业用地规划条件论证报告</w:t>
      </w:r>
      <w:r>
        <w:rPr>
          <w:rFonts w:hint="eastAsia" w:ascii="仿宋_GB2312" w:eastAsia="仿宋_GB2312" w:cs="Times New Roman"/>
          <w:sz w:val="32"/>
          <w:szCs w:val="32"/>
        </w:rPr>
        <w:t>》（</w:t>
      </w:r>
      <w:r>
        <w:rPr>
          <w:rStyle w:val="63"/>
          <w:rFonts w:cs="Times New Roman"/>
        </w:rPr>
        <w:t>中府函〔</w:t>
      </w:r>
      <w:r>
        <w:rPr>
          <w:rStyle w:val="64"/>
          <w:rFonts w:ascii="仿宋_GB2312" w:eastAsia="仿宋_GB2312" w:cs="Times New Roman"/>
        </w:rPr>
        <w:t>2022</w:t>
      </w:r>
      <w:r>
        <w:rPr>
          <w:rStyle w:val="63"/>
          <w:rFonts w:cs="Times New Roman"/>
        </w:rPr>
        <w:t>〕</w:t>
      </w:r>
      <w:r>
        <w:rPr>
          <w:rStyle w:val="64"/>
          <w:rFonts w:ascii="仿宋_GB2312" w:eastAsia="仿宋_GB2312" w:cs="Times New Roman"/>
        </w:rPr>
        <w:t xml:space="preserve">275 </w:t>
      </w:r>
      <w:r>
        <w:rPr>
          <w:rStyle w:val="63"/>
          <w:rFonts w:cs="Times New Roman"/>
        </w:rPr>
        <w:t>号</w:t>
      </w:r>
      <w:r>
        <w:rPr>
          <w:rFonts w:hint="eastAsia" w:ascii="仿宋_GB2312" w:eastAsia="仿宋_GB2312" w:cs="Times New Roman"/>
          <w:sz w:val="32"/>
          <w:szCs w:val="32"/>
        </w:rPr>
        <w:t>），0.9081公顷（9080.89平方米，折合13.62亩）</w:t>
      </w:r>
      <w:r>
        <w:rPr>
          <w:rFonts w:hint="eastAsia" w:ascii="仿宋_GB2312" w:eastAsia="仿宋_GB2312" w:cs="仿宋_GB2312"/>
          <w:sz w:val="32"/>
          <w:szCs w:val="32"/>
        </w:rPr>
        <w:t>规划为</w:t>
      </w:r>
      <w:r>
        <w:rPr>
          <w:rFonts w:hint="eastAsia" w:ascii="仿宋_GB2312" w:eastAsia="仿宋_GB2312" w:cs="Times New Roman"/>
          <w:sz w:val="32"/>
          <w:szCs w:val="32"/>
        </w:rPr>
        <w:t>一类工业用地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拟采用协议出让方式供地给三社经联社。</w:t>
      </w:r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改造范围内B地块</w:t>
      </w:r>
      <w:r>
        <w:rPr>
          <w:rFonts w:hint="eastAsia" w:ascii="仿宋_GB2312" w:eastAsia="仿宋_GB2312" w:cs="仿宋_GB2312"/>
          <w:sz w:val="32"/>
          <w:szCs w:val="32"/>
        </w:rPr>
        <w:t>0.6260公顷（6259.83 平方米，折合9.39亩）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用地需办理集体土地完善转用手续，并依据</w:t>
      </w:r>
      <w:r>
        <w:rPr>
          <w:rFonts w:hint="eastAsia" w:ascii="仿宋_GB2312" w:eastAsia="仿宋_GB2312"/>
          <w:sz w:val="32"/>
          <w:szCs w:val="32"/>
        </w:rPr>
        <w:t>《中山市黄圃镇工业用地规划条件论证报告》（中府函〔2022〕275 号），0.6260公顷（6259.83 平方米，折合9.39亩）</w:t>
      </w:r>
      <w:r>
        <w:rPr>
          <w:rFonts w:hint="eastAsia" w:ascii="仿宋_GB2312" w:eastAsia="仿宋_GB2312" w:cs="Times New Roman"/>
          <w:sz w:val="32"/>
          <w:szCs w:val="32"/>
        </w:rPr>
        <w:t>均</w:t>
      </w:r>
      <w:r>
        <w:rPr>
          <w:rFonts w:hint="eastAsia" w:ascii="仿宋_GB2312" w:eastAsia="仿宋_GB2312"/>
          <w:sz w:val="32"/>
          <w:szCs w:val="32"/>
        </w:rPr>
        <w:t>规划为</w:t>
      </w:r>
      <w:r>
        <w:rPr>
          <w:rFonts w:hint="eastAsia" w:ascii="仿宋_GB2312" w:eastAsia="仿宋_GB2312" w:cs="Times New Roman"/>
          <w:sz w:val="32"/>
          <w:szCs w:val="32"/>
        </w:rPr>
        <w:t>一类工业用地</w:t>
      </w:r>
      <w:r>
        <w:rPr>
          <w:rFonts w:hint="eastAsia" w:ascii="仿宋_GB2312" w:eastAsia="仿宋_GB2312" w:cs="仿宋_GB2312"/>
          <w:sz w:val="32"/>
          <w:szCs w:val="32"/>
        </w:rPr>
        <w:t>，拟</w:t>
      </w:r>
      <w:r>
        <w:rPr>
          <w:rFonts w:hint="eastAsia" w:ascii="仿宋_GB2312" w:eastAsia="仿宋_GB2312"/>
          <w:sz w:val="32"/>
          <w:szCs w:val="32"/>
        </w:rPr>
        <w:t>采用农村集体建设用地自用方式登记到三社经联社名下。</w:t>
      </w:r>
      <w:bookmarkEnd w:id="0"/>
      <w:bookmarkEnd w:id="1"/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五、资金筹措</w:t>
      </w:r>
    </w:p>
    <w:p>
      <w:pPr>
        <w:ind w:firstLine="616"/>
        <w:jc w:val="both"/>
        <w:rPr>
          <w:rFonts w:ascii="仿宋_GB2312" w:eastAsia="仿宋_GB2312"/>
          <w:b/>
          <w:color w:val="558ED5" w:themeColor="text2" w:themeTint="99"/>
          <w:sz w:val="32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改造主体拟</w:t>
      </w: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  <w:lang w:bidi="ar"/>
        </w:rPr>
        <w:t>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bidi="ar"/>
        </w:rPr>
        <w:t>自筹资金及银行融资的方式，共筹集</w:t>
      </w: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  <w:lang w:bidi="ar"/>
        </w:rPr>
        <w:t>6500万元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 w:bidi="ar"/>
        </w:rPr>
        <w:t>（其中，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 w:bidi="ar"/>
        </w:rPr>
        <w:t>自有资金3500万元，银行融资3000万元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 w:bidi="ar"/>
        </w:rPr>
        <w:t>）</w:t>
      </w: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  <w:lang w:bidi="ar"/>
        </w:rPr>
        <w:t>进行改造。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以上数据以最终实际发生为准。</w:t>
      </w:r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六、开发时序</w:t>
      </w:r>
    </w:p>
    <w:p>
      <w:pPr>
        <w:spacing w:line="240" w:lineRule="auto"/>
        <w:ind w:firstLine="640"/>
        <w:jc w:val="both"/>
        <w:rPr>
          <w:rFonts w:ascii="仿宋_GB2312" w:hAnsi="Times New Roman" w:eastAsia="仿宋_GB2312" w:cstheme="minorBidi"/>
          <w:spacing w:val="0"/>
          <w:sz w:val="32"/>
          <w:szCs w:val="32"/>
        </w:rPr>
      </w:pP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项目开发周期为</w:t>
      </w:r>
      <w:r>
        <w:rPr>
          <w:rFonts w:hint="eastAsia" w:ascii="仿宋_GB2312" w:eastAsia="仿宋_GB2312" w:cstheme="minorBidi"/>
          <w:spacing w:val="0"/>
          <w:sz w:val="32"/>
          <w:szCs w:val="32"/>
          <w:lang w:eastAsia="zh-CN"/>
        </w:rPr>
        <w:t>3</w:t>
      </w:r>
      <w:r>
        <w:rPr>
          <w:rFonts w:hint="eastAsia" w:ascii="仿宋_GB2312" w:eastAsia="仿宋_GB2312" w:cstheme="minorBidi"/>
          <w:spacing w:val="0"/>
          <w:sz w:val="32"/>
          <w:szCs w:val="32"/>
          <w:lang w:val="en-US" w:eastAsia="zh-CN"/>
        </w:rPr>
        <w:t>.5</w:t>
      </w:r>
      <w:r>
        <w:rPr>
          <w:rFonts w:ascii="仿宋_GB2312" w:hAnsi="Times New Roman" w:eastAsia="仿宋_GB2312" w:cstheme="minorBidi"/>
          <w:spacing w:val="0"/>
          <w:sz w:val="32"/>
          <w:szCs w:val="32"/>
        </w:rPr>
        <w:t>年，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计划分两期开发。</w:t>
      </w:r>
    </w:p>
    <w:p>
      <w:pPr>
        <w:spacing w:line="240" w:lineRule="auto"/>
        <w:ind w:firstLine="640"/>
        <w:jc w:val="both"/>
        <w:rPr>
          <w:rFonts w:ascii="仿宋_GB2312" w:hAnsi="Times New Roman" w:eastAsia="仿宋_GB2312" w:cstheme="minorBidi"/>
          <w:spacing w:val="0"/>
          <w:sz w:val="32"/>
          <w:szCs w:val="32"/>
        </w:rPr>
      </w:pP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第一期开发时间为</w:t>
      </w:r>
      <w:r>
        <w:rPr>
          <w:rFonts w:ascii="仿宋_GB2312" w:hAnsi="Times New Roman" w:eastAsia="仿宋_GB2312" w:cstheme="minorBidi"/>
          <w:spacing w:val="0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，竣工时间为2025年1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，拟投入资金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3900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万元，拟建建筑面积不小于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15800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平方米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spacing w:line="240" w:lineRule="auto"/>
        <w:ind w:firstLine="640"/>
        <w:jc w:val="both"/>
        <w:rPr>
          <w:rFonts w:ascii="仿宋_GB2312" w:hAnsi="Times New Roman" w:eastAsia="仿宋_GB2312" w:cstheme="minorBidi"/>
          <w:spacing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第二期开发时间为</w:t>
      </w:r>
      <w:r>
        <w:rPr>
          <w:rFonts w:ascii="仿宋_GB2312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  <w:szCs w:val="32"/>
        </w:rPr>
        <w:t>年7月，竣工时间为2027年6月，拟投入资金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2600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拟建建筑面积不小于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0600</w:t>
      </w:r>
      <w:r>
        <w:rPr>
          <w:rFonts w:hint="eastAsia" w:ascii="仿宋_GB2312" w:hAnsi="Times New Roman" w:eastAsia="仿宋_GB2312" w:cstheme="minorBidi"/>
          <w:spacing w:val="0"/>
          <w:sz w:val="32"/>
          <w:szCs w:val="32"/>
        </w:rPr>
        <w:t>平方米，</w:t>
      </w:r>
      <w:r>
        <w:rPr>
          <w:rFonts w:hint="eastAsia" w:ascii="仿宋_GB2312" w:eastAsia="仿宋_GB2312"/>
          <w:sz w:val="32"/>
          <w:szCs w:val="32"/>
        </w:rPr>
        <w:t>主要实施工业厂房建设。</w:t>
      </w:r>
    </w:p>
    <w:p>
      <w:pPr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具体开发时间、建设内容以签订的土地使用权出让（租赁）合同、监管协议等相关约定为准。</w:t>
      </w:r>
    </w:p>
    <w:p>
      <w:pPr>
        <w:ind w:firstLine="64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七、实施监督</w:t>
      </w:r>
    </w:p>
    <w:p>
      <w:pPr>
        <w:ind w:firstLine="616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主体应当按规定与黄圃镇政府签订项目实施监管协议，并按监管协议约定实施改造。在监管协议中需明确：改造主体应履行的实质性改造、工业厂房建设标准等相关义务；引入的产业、环保、能耗等准入要求；投资强度、产值、纳税强度、分割销售标准及受让企业的具体准入标准等要求和相应监管措施；以及物业管理、安全生产、公共设施维修等责任；监管主体对工业厂房建设标准、禁止违规转租、二次转让、改变使用功能、加建改建等监管内容；改造主体的违约赔偿条款等相关内容。</w:t>
      </w:r>
    </w:p>
    <w:p>
      <w:pPr>
        <w:widowControl w:val="0"/>
        <w:ind w:firstLine="616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改造主体未依约依规实施改造的，按合作协议、监管协议约定承担相应责任。</w:t>
      </w:r>
    </w:p>
    <w:p>
      <w:pPr>
        <w:widowControl w:val="0"/>
        <w:spacing w:line="574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558ED5" w:themeColor="text2" w:themeTint="99"/>
          <w:spacing w:val="-6"/>
          <w:kern w:val="2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  <w:bookmarkStart w:id="2" w:name="_GoBack"/>
      <w:bookmarkEnd w:id="2"/>
    </w:p>
    <w:p>
      <w:pPr>
        <w:pStyle w:val="23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7992239"/>
    </w:sdtPr>
    <w:sdtContent>
      <w:p>
        <w:pPr>
          <w:pStyle w:val="18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CF9C2"/>
    <w:multiLevelType w:val="singleLevel"/>
    <w:tmpl w:val="852CF9C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FBF9B4"/>
    <w:multiLevelType w:val="singleLevel"/>
    <w:tmpl w:val="DCFBF9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5A49B5"/>
    <w:multiLevelType w:val="multilevel"/>
    <w:tmpl w:val="4D5A49B5"/>
    <w:lvl w:ilvl="0" w:tentative="0">
      <w:start w:val="1"/>
      <w:numFmt w:val="japaneseCounting"/>
      <w:lvlText w:val="（%1）"/>
      <w:lvlJc w:val="left"/>
      <w:pPr>
        <w:ind w:left="1004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NjNkOGU0MzJiYmNhMjZhZjhkZDNjZDA1ZjcxMTMifQ=="/>
  </w:docVars>
  <w:rsids>
    <w:rsidRoot w:val="002F62F3"/>
    <w:rsid w:val="000005DC"/>
    <w:rsid w:val="00002385"/>
    <w:rsid w:val="00002691"/>
    <w:rsid w:val="000121B5"/>
    <w:rsid w:val="00013467"/>
    <w:rsid w:val="00014EBB"/>
    <w:rsid w:val="00015357"/>
    <w:rsid w:val="00020487"/>
    <w:rsid w:val="00030C0D"/>
    <w:rsid w:val="00036572"/>
    <w:rsid w:val="0003712D"/>
    <w:rsid w:val="00043002"/>
    <w:rsid w:val="00044DC5"/>
    <w:rsid w:val="00067AAB"/>
    <w:rsid w:val="0007075A"/>
    <w:rsid w:val="0007257A"/>
    <w:rsid w:val="0007513A"/>
    <w:rsid w:val="00076E5D"/>
    <w:rsid w:val="00084DA8"/>
    <w:rsid w:val="00095384"/>
    <w:rsid w:val="0009775F"/>
    <w:rsid w:val="000A44B0"/>
    <w:rsid w:val="000C2EFC"/>
    <w:rsid w:val="000C4ABA"/>
    <w:rsid w:val="000C6D61"/>
    <w:rsid w:val="000C6DCD"/>
    <w:rsid w:val="000C7B05"/>
    <w:rsid w:val="000D4CF7"/>
    <w:rsid w:val="000E1AF5"/>
    <w:rsid w:val="000E45B9"/>
    <w:rsid w:val="000E607C"/>
    <w:rsid w:val="000E6C15"/>
    <w:rsid w:val="000F19A2"/>
    <w:rsid w:val="000F5321"/>
    <w:rsid w:val="000F69DB"/>
    <w:rsid w:val="001023F3"/>
    <w:rsid w:val="00104A41"/>
    <w:rsid w:val="001050BB"/>
    <w:rsid w:val="00106857"/>
    <w:rsid w:val="001148C6"/>
    <w:rsid w:val="00116AE3"/>
    <w:rsid w:val="0012231B"/>
    <w:rsid w:val="00122A76"/>
    <w:rsid w:val="00125196"/>
    <w:rsid w:val="00126599"/>
    <w:rsid w:val="00126D67"/>
    <w:rsid w:val="00134E03"/>
    <w:rsid w:val="001431DC"/>
    <w:rsid w:val="001443C3"/>
    <w:rsid w:val="00144C96"/>
    <w:rsid w:val="001455D0"/>
    <w:rsid w:val="001665BB"/>
    <w:rsid w:val="00171FA0"/>
    <w:rsid w:val="001749A4"/>
    <w:rsid w:val="00180AAA"/>
    <w:rsid w:val="00181D61"/>
    <w:rsid w:val="00181EA4"/>
    <w:rsid w:val="00182155"/>
    <w:rsid w:val="00194DDB"/>
    <w:rsid w:val="001A0678"/>
    <w:rsid w:val="001A71A4"/>
    <w:rsid w:val="001B24F0"/>
    <w:rsid w:val="001B406F"/>
    <w:rsid w:val="001B46F4"/>
    <w:rsid w:val="001B514B"/>
    <w:rsid w:val="001B51B2"/>
    <w:rsid w:val="001B65E7"/>
    <w:rsid w:val="001B7C56"/>
    <w:rsid w:val="001C116C"/>
    <w:rsid w:val="001C515F"/>
    <w:rsid w:val="001C567B"/>
    <w:rsid w:val="001E395F"/>
    <w:rsid w:val="001E3C8C"/>
    <w:rsid w:val="001F29B4"/>
    <w:rsid w:val="001F5321"/>
    <w:rsid w:val="00200257"/>
    <w:rsid w:val="00203614"/>
    <w:rsid w:val="002178D5"/>
    <w:rsid w:val="002255ED"/>
    <w:rsid w:val="00233744"/>
    <w:rsid w:val="00233836"/>
    <w:rsid w:val="002363F9"/>
    <w:rsid w:val="002402C0"/>
    <w:rsid w:val="00244324"/>
    <w:rsid w:val="00244A9B"/>
    <w:rsid w:val="0024687F"/>
    <w:rsid w:val="00254CBB"/>
    <w:rsid w:val="0026459A"/>
    <w:rsid w:val="00265608"/>
    <w:rsid w:val="00274584"/>
    <w:rsid w:val="00274F81"/>
    <w:rsid w:val="00276565"/>
    <w:rsid w:val="00281702"/>
    <w:rsid w:val="00287051"/>
    <w:rsid w:val="0029203D"/>
    <w:rsid w:val="002956C5"/>
    <w:rsid w:val="0029577C"/>
    <w:rsid w:val="00295C3A"/>
    <w:rsid w:val="002A150A"/>
    <w:rsid w:val="002B1F6F"/>
    <w:rsid w:val="002B48C5"/>
    <w:rsid w:val="002B5175"/>
    <w:rsid w:val="002C3979"/>
    <w:rsid w:val="002C7E45"/>
    <w:rsid w:val="002D1B7D"/>
    <w:rsid w:val="002D33AD"/>
    <w:rsid w:val="002D3BCA"/>
    <w:rsid w:val="002D47C1"/>
    <w:rsid w:val="002E498A"/>
    <w:rsid w:val="002E520F"/>
    <w:rsid w:val="002F2384"/>
    <w:rsid w:val="002F459B"/>
    <w:rsid w:val="002F62F3"/>
    <w:rsid w:val="002F7C55"/>
    <w:rsid w:val="00300D05"/>
    <w:rsid w:val="003018A9"/>
    <w:rsid w:val="00304A3F"/>
    <w:rsid w:val="0030606C"/>
    <w:rsid w:val="003102C3"/>
    <w:rsid w:val="003108AD"/>
    <w:rsid w:val="003153C6"/>
    <w:rsid w:val="003236C4"/>
    <w:rsid w:val="003275E5"/>
    <w:rsid w:val="003357EF"/>
    <w:rsid w:val="00342B57"/>
    <w:rsid w:val="00345E4B"/>
    <w:rsid w:val="003460FD"/>
    <w:rsid w:val="00346C0C"/>
    <w:rsid w:val="003625D1"/>
    <w:rsid w:val="00363D8C"/>
    <w:rsid w:val="00366BFB"/>
    <w:rsid w:val="00370F44"/>
    <w:rsid w:val="00374D29"/>
    <w:rsid w:val="00375BB0"/>
    <w:rsid w:val="00383D1A"/>
    <w:rsid w:val="00386654"/>
    <w:rsid w:val="00390826"/>
    <w:rsid w:val="003910F8"/>
    <w:rsid w:val="003955AA"/>
    <w:rsid w:val="003A287D"/>
    <w:rsid w:val="003A590A"/>
    <w:rsid w:val="003B1B86"/>
    <w:rsid w:val="003B476D"/>
    <w:rsid w:val="003B4FE2"/>
    <w:rsid w:val="003B61BD"/>
    <w:rsid w:val="003D2B54"/>
    <w:rsid w:val="003D3143"/>
    <w:rsid w:val="003D4553"/>
    <w:rsid w:val="003D70E8"/>
    <w:rsid w:val="003E481D"/>
    <w:rsid w:val="003E5C66"/>
    <w:rsid w:val="003E7F8E"/>
    <w:rsid w:val="00402A47"/>
    <w:rsid w:val="00407A04"/>
    <w:rsid w:val="00410BCD"/>
    <w:rsid w:val="00413D90"/>
    <w:rsid w:val="00421A47"/>
    <w:rsid w:val="00423402"/>
    <w:rsid w:val="00424856"/>
    <w:rsid w:val="004271C1"/>
    <w:rsid w:val="004337B4"/>
    <w:rsid w:val="00440BC3"/>
    <w:rsid w:val="0044374E"/>
    <w:rsid w:val="00445D73"/>
    <w:rsid w:val="00446F70"/>
    <w:rsid w:val="00451D40"/>
    <w:rsid w:val="00460810"/>
    <w:rsid w:val="00467534"/>
    <w:rsid w:val="004765DF"/>
    <w:rsid w:val="004822CC"/>
    <w:rsid w:val="00487A85"/>
    <w:rsid w:val="004A17E7"/>
    <w:rsid w:val="004B5B90"/>
    <w:rsid w:val="004C5EAD"/>
    <w:rsid w:val="004D4050"/>
    <w:rsid w:val="004D5410"/>
    <w:rsid w:val="004D5AEB"/>
    <w:rsid w:val="004D62E0"/>
    <w:rsid w:val="004D7EBE"/>
    <w:rsid w:val="004E0B3E"/>
    <w:rsid w:val="004E31DF"/>
    <w:rsid w:val="004E7408"/>
    <w:rsid w:val="004F488D"/>
    <w:rsid w:val="004F7162"/>
    <w:rsid w:val="00502DED"/>
    <w:rsid w:val="00503EFD"/>
    <w:rsid w:val="00504F1E"/>
    <w:rsid w:val="00506922"/>
    <w:rsid w:val="005114F0"/>
    <w:rsid w:val="00514005"/>
    <w:rsid w:val="00527A41"/>
    <w:rsid w:val="005319C5"/>
    <w:rsid w:val="005351DC"/>
    <w:rsid w:val="0053634F"/>
    <w:rsid w:val="005422E4"/>
    <w:rsid w:val="00542B46"/>
    <w:rsid w:val="005432AD"/>
    <w:rsid w:val="00544E53"/>
    <w:rsid w:val="00551FCE"/>
    <w:rsid w:val="00552ABD"/>
    <w:rsid w:val="0055465D"/>
    <w:rsid w:val="00555348"/>
    <w:rsid w:val="00592330"/>
    <w:rsid w:val="005A10D5"/>
    <w:rsid w:val="005A449E"/>
    <w:rsid w:val="005A5939"/>
    <w:rsid w:val="005A6585"/>
    <w:rsid w:val="005A7882"/>
    <w:rsid w:val="005B0487"/>
    <w:rsid w:val="005B59F5"/>
    <w:rsid w:val="005C04FF"/>
    <w:rsid w:val="005C6294"/>
    <w:rsid w:val="005D6041"/>
    <w:rsid w:val="005F15A5"/>
    <w:rsid w:val="0060296D"/>
    <w:rsid w:val="00603823"/>
    <w:rsid w:val="0061254D"/>
    <w:rsid w:val="0061371A"/>
    <w:rsid w:val="00614F62"/>
    <w:rsid w:val="00615413"/>
    <w:rsid w:val="006172B6"/>
    <w:rsid w:val="00617799"/>
    <w:rsid w:val="0062030E"/>
    <w:rsid w:val="00621F20"/>
    <w:rsid w:val="0062301B"/>
    <w:rsid w:val="0063264C"/>
    <w:rsid w:val="006355FC"/>
    <w:rsid w:val="00635F3D"/>
    <w:rsid w:val="006403B1"/>
    <w:rsid w:val="00641CA5"/>
    <w:rsid w:val="00645563"/>
    <w:rsid w:val="0064567D"/>
    <w:rsid w:val="00646D9B"/>
    <w:rsid w:val="006558EA"/>
    <w:rsid w:val="00657359"/>
    <w:rsid w:val="00664151"/>
    <w:rsid w:val="00667F0E"/>
    <w:rsid w:val="00670585"/>
    <w:rsid w:val="00672F0E"/>
    <w:rsid w:val="006848CF"/>
    <w:rsid w:val="006859AE"/>
    <w:rsid w:val="00687F66"/>
    <w:rsid w:val="0069371C"/>
    <w:rsid w:val="006A336A"/>
    <w:rsid w:val="006B1086"/>
    <w:rsid w:val="006B179E"/>
    <w:rsid w:val="006C4789"/>
    <w:rsid w:val="006D4950"/>
    <w:rsid w:val="006D4D31"/>
    <w:rsid w:val="006D68EF"/>
    <w:rsid w:val="006D6C8E"/>
    <w:rsid w:val="006E546A"/>
    <w:rsid w:val="006F0D8D"/>
    <w:rsid w:val="006F2285"/>
    <w:rsid w:val="006F3D0E"/>
    <w:rsid w:val="00701BC0"/>
    <w:rsid w:val="00703E30"/>
    <w:rsid w:val="007049C4"/>
    <w:rsid w:val="00710FF3"/>
    <w:rsid w:val="00716190"/>
    <w:rsid w:val="00724B70"/>
    <w:rsid w:val="00727933"/>
    <w:rsid w:val="00731C2E"/>
    <w:rsid w:val="00732881"/>
    <w:rsid w:val="00732EFF"/>
    <w:rsid w:val="00733547"/>
    <w:rsid w:val="00741F7B"/>
    <w:rsid w:val="007500EB"/>
    <w:rsid w:val="00750142"/>
    <w:rsid w:val="0075056F"/>
    <w:rsid w:val="0075078D"/>
    <w:rsid w:val="00751F2C"/>
    <w:rsid w:val="00754FD0"/>
    <w:rsid w:val="00757787"/>
    <w:rsid w:val="00757842"/>
    <w:rsid w:val="00766325"/>
    <w:rsid w:val="00773ADD"/>
    <w:rsid w:val="00774968"/>
    <w:rsid w:val="007749FF"/>
    <w:rsid w:val="00774A8C"/>
    <w:rsid w:val="007752A8"/>
    <w:rsid w:val="00780FC5"/>
    <w:rsid w:val="00781570"/>
    <w:rsid w:val="0078225F"/>
    <w:rsid w:val="0079026A"/>
    <w:rsid w:val="007915A3"/>
    <w:rsid w:val="00793FEA"/>
    <w:rsid w:val="007956FA"/>
    <w:rsid w:val="00796422"/>
    <w:rsid w:val="007A437B"/>
    <w:rsid w:val="007B16DF"/>
    <w:rsid w:val="007B5E0A"/>
    <w:rsid w:val="007C1EC2"/>
    <w:rsid w:val="007C465F"/>
    <w:rsid w:val="007C7662"/>
    <w:rsid w:val="007D18B6"/>
    <w:rsid w:val="007D611E"/>
    <w:rsid w:val="007E0BE9"/>
    <w:rsid w:val="007E18B2"/>
    <w:rsid w:val="007E1EED"/>
    <w:rsid w:val="007E3CC1"/>
    <w:rsid w:val="007E60E8"/>
    <w:rsid w:val="007E7108"/>
    <w:rsid w:val="00801C20"/>
    <w:rsid w:val="008035AA"/>
    <w:rsid w:val="00804507"/>
    <w:rsid w:val="0081274B"/>
    <w:rsid w:val="00813228"/>
    <w:rsid w:val="008134DD"/>
    <w:rsid w:val="00815A36"/>
    <w:rsid w:val="00816028"/>
    <w:rsid w:val="008173CA"/>
    <w:rsid w:val="0081779B"/>
    <w:rsid w:val="0082204A"/>
    <w:rsid w:val="00823BC7"/>
    <w:rsid w:val="008326F6"/>
    <w:rsid w:val="0083547B"/>
    <w:rsid w:val="00840467"/>
    <w:rsid w:val="008412FF"/>
    <w:rsid w:val="008420B8"/>
    <w:rsid w:val="0084361C"/>
    <w:rsid w:val="00844234"/>
    <w:rsid w:val="0085061E"/>
    <w:rsid w:val="00853DA0"/>
    <w:rsid w:val="00864355"/>
    <w:rsid w:val="00864F88"/>
    <w:rsid w:val="008651D4"/>
    <w:rsid w:val="008760FF"/>
    <w:rsid w:val="008772D0"/>
    <w:rsid w:val="00887E43"/>
    <w:rsid w:val="00891552"/>
    <w:rsid w:val="00892F80"/>
    <w:rsid w:val="008A08A0"/>
    <w:rsid w:val="008A4C83"/>
    <w:rsid w:val="008A4F40"/>
    <w:rsid w:val="008A583E"/>
    <w:rsid w:val="008A65AD"/>
    <w:rsid w:val="008A6E34"/>
    <w:rsid w:val="008A70B0"/>
    <w:rsid w:val="008B4B2B"/>
    <w:rsid w:val="008B7591"/>
    <w:rsid w:val="008C0D71"/>
    <w:rsid w:val="008C7D23"/>
    <w:rsid w:val="008D3986"/>
    <w:rsid w:val="008D39BE"/>
    <w:rsid w:val="008E2F78"/>
    <w:rsid w:val="008E5B9E"/>
    <w:rsid w:val="008F0DA6"/>
    <w:rsid w:val="008F4C36"/>
    <w:rsid w:val="008F662E"/>
    <w:rsid w:val="008F6A13"/>
    <w:rsid w:val="009059FB"/>
    <w:rsid w:val="009110E8"/>
    <w:rsid w:val="009142E3"/>
    <w:rsid w:val="00920889"/>
    <w:rsid w:val="009228EE"/>
    <w:rsid w:val="00923562"/>
    <w:rsid w:val="00923651"/>
    <w:rsid w:val="00925D0D"/>
    <w:rsid w:val="00926A0C"/>
    <w:rsid w:val="00931D8B"/>
    <w:rsid w:val="00935B54"/>
    <w:rsid w:val="00936700"/>
    <w:rsid w:val="00936B75"/>
    <w:rsid w:val="00941C01"/>
    <w:rsid w:val="00942485"/>
    <w:rsid w:val="0094311C"/>
    <w:rsid w:val="00944963"/>
    <w:rsid w:val="00946530"/>
    <w:rsid w:val="00954505"/>
    <w:rsid w:val="00957059"/>
    <w:rsid w:val="009570AD"/>
    <w:rsid w:val="00957448"/>
    <w:rsid w:val="009612CB"/>
    <w:rsid w:val="009622F6"/>
    <w:rsid w:val="00965650"/>
    <w:rsid w:val="00966F63"/>
    <w:rsid w:val="0097318C"/>
    <w:rsid w:val="009735FA"/>
    <w:rsid w:val="00980AE6"/>
    <w:rsid w:val="009A06E1"/>
    <w:rsid w:val="009A1332"/>
    <w:rsid w:val="009A557C"/>
    <w:rsid w:val="009B06C8"/>
    <w:rsid w:val="009B580C"/>
    <w:rsid w:val="009C225D"/>
    <w:rsid w:val="009D688C"/>
    <w:rsid w:val="009D7FC1"/>
    <w:rsid w:val="009E024C"/>
    <w:rsid w:val="009E2A6F"/>
    <w:rsid w:val="00A069F4"/>
    <w:rsid w:val="00A1101F"/>
    <w:rsid w:val="00A15245"/>
    <w:rsid w:val="00A20D65"/>
    <w:rsid w:val="00A26F7D"/>
    <w:rsid w:val="00A31ED5"/>
    <w:rsid w:val="00A43E39"/>
    <w:rsid w:val="00A53EB8"/>
    <w:rsid w:val="00A5435F"/>
    <w:rsid w:val="00A56A27"/>
    <w:rsid w:val="00A60816"/>
    <w:rsid w:val="00A6173C"/>
    <w:rsid w:val="00A648DB"/>
    <w:rsid w:val="00A66980"/>
    <w:rsid w:val="00A77A84"/>
    <w:rsid w:val="00A86370"/>
    <w:rsid w:val="00A96571"/>
    <w:rsid w:val="00AA1184"/>
    <w:rsid w:val="00AA3E79"/>
    <w:rsid w:val="00AB0518"/>
    <w:rsid w:val="00AC4FD4"/>
    <w:rsid w:val="00AC57FB"/>
    <w:rsid w:val="00AC66DF"/>
    <w:rsid w:val="00AD2716"/>
    <w:rsid w:val="00AD3EAB"/>
    <w:rsid w:val="00AD7660"/>
    <w:rsid w:val="00AE659F"/>
    <w:rsid w:val="00AF0A7C"/>
    <w:rsid w:val="00AF1EC5"/>
    <w:rsid w:val="00AF51A8"/>
    <w:rsid w:val="00AF68B9"/>
    <w:rsid w:val="00AF79C7"/>
    <w:rsid w:val="00B0460C"/>
    <w:rsid w:val="00B110D5"/>
    <w:rsid w:val="00B14589"/>
    <w:rsid w:val="00B2130E"/>
    <w:rsid w:val="00B23E15"/>
    <w:rsid w:val="00B25C91"/>
    <w:rsid w:val="00B37EB1"/>
    <w:rsid w:val="00B40722"/>
    <w:rsid w:val="00B411BA"/>
    <w:rsid w:val="00B441C7"/>
    <w:rsid w:val="00B578D7"/>
    <w:rsid w:val="00B628FB"/>
    <w:rsid w:val="00B63AA7"/>
    <w:rsid w:val="00B664EF"/>
    <w:rsid w:val="00B67427"/>
    <w:rsid w:val="00B70491"/>
    <w:rsid w:val="00B7102A"/>
    <w:rsid w:val="00B71A66"/>
    <w:rsid w:val="00B73990"/>
    <w:rsid w:val="00B74ED6"/>
    <w:rsid w:val="00B85459"/>
    <w:rsid w:val="00B933E5"/>
    <w:rsid w:val="00B93A30"/>
    <w:rsid w:val="00BA0F62"/>
    <w:rsid w:val="00BA3958"/>
    <w:rsid w:val="00BA567D"/>
    <w:rsid w:val="00BB3A14"/>
    <w:rsid w:val="00BC48B3"/>
    <w:rsid w:val="00BC4942"/>
    <w:rsid w:val="00BC6044"/>
    <w:rsid w:val="00BD1ED3"/>
    <w:rsid w:val="00BD3D25"/>
    <w:rsid w:val="00BE2A12"/>
    <w:rsid w:val="00BE3D62"/>
    <w:rsid w:val="00BE5644"/>
    <w:rsid w:val="00BE7DC0"/>
    <w:rsid w:val="00BF22AC"/>
    <w:rsid w:val="00C013AE"/>
    <w:rsid w:val="00C0332E"/>
    <w:rsid w:val="00C0725F"/>
    <w:rsid w:val="00C110F5"/>
    <w:rsid w:val="00C16225"/>
    <w:rsid w:val="00C229C2"/>
    <w:rsid w:val="00C355C3"/>
    <w:rsid w:val="00C44B43"/>
    <w:rsid w:val="00C45D19"/>
    <w:rsid w:val="00C550BE"/>
    <w:rsid w:val="00C55847"/>
    <w:rsid w:val="00C56E81"/>
    <w:rsid w:val="00C60A8B"/>
    <w:rsid w:val="00C6268B"/>
    <w:rsid w:val="00C63839"/>
    <w:rsid w:val="00C764A3"/>
    <w:rsid w:val="00C80979"/>
    <w:rsid w:val="00C80CA1"/>
    <w:rsid w:val="00C83BE8"/>
    <w:rsid w:val="00C84B96"/>
    <w:rsid w:val="00C91168"/>
    <w:rsid w:val="00C94F2B"/>
    <w:rsid w:val="00CA107C"/>
    <w:rsid w:val="00CA17F0"/>
    <w:rsid w:val="00CA4ED9"/>
    <w:rsid w:val="00CA5772"/>
    <w:rsid w:val="00CB07A7"/>
    <w:rsid w:val="00CB2286"/>
    <w:rsid w:val="00CB49C7"/>
    <w:rsid w:val="00CC264E"/>
    <w:rsid w:val="00CC27B4"/>
    <w:rsid w:val="00CC3D5A"/>
    <w:rsid w:val="00CC5103"/>
    <w:rsid w:val="00CC784D"/>
    <w:rsid w:val="00CD4969"/>
    <w:rsid w:val="00CD5440"/>
    <w:rsid w:val="00CF4EB6"/>
    <w:rsid w:val="00CF52F8"/>
    <w:rsid w:val="00CF6242"/>
    <w:rsid w:val="00D02959"/>
    <w:rsid w:val="00D02C1F"/>
    <w:rsid w:val="00D0518F"/>
    <w:rsid w:val="00D11045"/>
    <w:rsid w:val="00D15839"/>
    <w:rsid w:val="00D16B69"/>
    <w:rsid w:val="00D17EB5"/>
    <w:rsid w:val="00D25884"/>
    <w:rsid w:val="00D25C3E"/>
    <w:rsid w:val="00D25ECA"/>
    <w:rsid w:val="00D3520E"/>
    <w:rsid w:val="00D3718E"/>
    <w:rsid w:val="00D5366B"/>
    <w:rsid w:val="00D62D5A"/>
    <w:rsid w:val="00D6675E"/>
    <w:rsid w:val="00D710A2"/>
    <w:rsid w:val="00D74828"/>
    <w:rsid w:val="00D81AC1"/>
    <w:rsid w:val="00D83C72"/>
    <w:rsid w:val="00D86A96"/>
    <w:rsid w:val="00D86D17"/>
    <w:rsid w:val="00D87E98"/>
    <w:rsid w:val="00D951FC"/>
    <w:rsid w:val="00DA1611"/>
    <w:rsid w:val="00DA3E39"/>
    <w:rsid w:val="00DA414F"/>
    <w:rsid w:val="00DA5BDA"/>
    <w:rsid w:val="00DB2BBD"/>
    <w:rsid w:val="00DB5FFA"/>
    <w:rsid w:val="00DC3574"/>
    <w:rsid w:val="00DC6D90"/>
    <w:rsid w:val="00DD1326"/>
    <w:rsid w:val="00DD754B"/>
    <w:rsid w:val="00DE389B"/>
    <w:rsid w:val="00DE5FB3"/>
    <w:rsid w:val="00DF1F80"/>
    <w:rsid w:val="00DF2209"/>
    <w:rsid w:val="00DF237F"/>
    <w:rsid w:val="00DF4D21"/>
    <w:rsid w:val="00E00032"/>
    <w:rsid w:val="00E029A0"/>
    <w:rsid w:val="00E05CC3"/>
    <w:rsid w:val="00E154A9"/>
    <w:rsid w:val="00E21437"/>
    <w:rsid w:val="00E333F6"/>
    <w:rsid w:val="00E34B4C"/>
    <w:rsid w:val="00E409D8"/>
    <w:rsid w:val="00E46453"/>
    <w:rsid w:val="00E543D3"/>
    <w:rsid w:val="00E604CE"/>
    <w:rsid w:val="00E62FF6"/>
    <w:rsid w:val="00E65059"/>
    <w:rsid w:val="00E660E3"/>
    <w:rsid w:val="00E66A17"/>
    <w:rsid w:val="00E6718F"/>
    <w:rsid w:val="00E73EB8"/>
    <w:rsid w:val="00E75F30"/>
    <w:rsid w:val="00E760D1"/>
    <w:rsid w:val="00E76388"/>
    <w:rsid w:val="00E77AC1"/>
    <w:rsid w:val="00E77D05"/>
    <w:rsid w:val="00E82811"/>
    <w:rsid w:val="00E8289F"/>
    <w:rsid w:val="00E831FB"/>
    <w:rsid w:val="00E8387E"/>
    <w:rsid w:val="00E8604D"/>
    <w:rsid w:val="00E95631"/>
    <w:rsid w:val="00EA4592"/>
    <w:rsid w:val="00EA5E68"/>
    <w:rsid w:val="00EA7A55"/>
    <w:rsid w:val="00EB002E"/>
    <w:rsid w:val="00EB10D3"/>
    <w:rsid w:val="00EB65ED"/>
    <w:rsid w:val="00EB7BA7"/>
    <w:rsid w:val="00ED3660"/>
    <w:rsid w:val="00ED3D9E"/>
    <w:rsid w:val="00ED5015"/>
    <w:rsid w:val="00ED5CBE"/>
    <w:rsid w:val="00ED65F9"/>
    <w:rsid w:val="00EE1C53"/>
    <w:rsid w:val="00EE3161"/>
    <w:rsid w:val="00EE7994"/>
    <w:rsid w:val="00EF060B"/>
    <w:rsid w:val="00EF0854"/>
    <w:rsid w:val="00EF1E66"/>
    <w:rsid w:val="00EF368F"/>
    <w:rsid w:val="00EF694E"/>
    <w:rsid w:val="00EF73CE"/>
    <w:rsid w:val="00F043F3"/>
    <w:rsid w:val="00F05211"/>
    <w:rsid w:val="00F067E0"/>
    <w:rsid w:val="00F06F15"/>
    <w:rsid w:val="00F11289"/>
    <w:rsid w:val="00F13B0B"/>
    <w:rsid w:val="00F14138"/>
    <w:rsid w:val="00F1642E"/>
    <w:rsid w:val="00F20727"/>
    <w:rsid w:val="00F4038E"/>
    <w:rsid w:val="00F42733"/>
    <w:rsid w:val="00F42863"/>
    <w:rsid w:val="00F444FC"/>
    <w:rsid w:val="00F554BA"/>
    <w:rsid w:val="00F57D63"/>
    <w:rsid w:val="00F61AFD"/>
    <w:rsid w:val="00F623A4"/>
    <w:rsid w:val="00F64914"/>
    <w:rsid w:val="00F66186"/>
    <w:rsid w:val="00F6754C"/>
    <w:rsid w:val="00F70572"/>
    <w:rsid w:val="00F752DD"/>
    <w:rsid w:val="00F8013C"/>
    <w:rsid w:val="00F848A2"/>
    <w:rsid w:val="00F862FE"/>
    <w:rsid w:val="00FA0610"/>
    <w:rsid w:val="00FA0DED"/>
    <w:rsid w:val="00FA3456"/>
    <w:rsid w:val="00FA4446"/>
    <w:rsid w:val="00FA5868"/>
    <w:rsid w:val="00FA712C"/>
    <w:rsid w:val="00FB0931"/>
    <w:rsid w:val="00FB1264"/>
    <w:rsid w:val="00FB3F82"/>
    <w:rsid w:val="00FB5C3F"/>
    <w:rsid w:val="00FC0BDB"/>
    <w:rsid w:val="00FC2BDC"/>
    <w:rsid w:val="00FC4D2E"/>
    <w:rsid w:val="00FC5503"/>
    <w:rsid w:val="00FC7596"/>
    <w:rsid w:val="00FD4B26"/>
    <w:rsid w:val="00FD7E89"/>
    <w:rsid w:val="00FF0C6D"/>
    <w:rsid w:val="00FF3048"/>
    <w:rsid w:val="00FF3194"/>
    <w:rsid w:val="00FF7962"/>
    <w:rsid w:val="016043AA"/>
    <w:rsid w:val="016B7202"/>
    <w:rsid w:val="01C01E3C"/>
    <w:rsid w:val="024E1CE8"/>
    <w:rsid w:val="025444CD"/>
    <w:rsid w:val="02587777"/>
    <w:rsid w:val="026954E1"/>
    <w:rsid w:val="026A4C19"/>
    <w:rsid w:val="03157757"/>
    <w:rsid w:val="03380580"/>
    <w:rsid w:val="03A404F8"/>
    <w:rsid w:val="04067974"/>
    <w:rsid w:val="04331D37"/>
    <w:rsid w:val="047833B7"/>
    <w:rsid w:val="050B1AB0"/>
    <w:rsid w:val="058C6E97"/>
    <w:rsid w:val="06A06F83"/>
    <w:rsid w:val="06C474B0"/>
    <w:rsid w:val="06ED43D6"/>
    <w:rsid w:val="070307D1"/>
    <w:rsid w:val="0718318D"/>
    <w:rsid w:val="072B3BD8"/>
    <w:rsid w:val="07525BEC"/>
    <w:rsid w:val="078A384D"/>
    <w:rsid w:val="08962DA7"/>
    <w:rsid w:val="09440A55"/>
    <w:rsid w:val="0B5A668C"/>
    <w:rsid w:val="0C1722D9"/>
    <w:rsid w:val="0E472689"/>
    <w:rsid w:val="0F947289"/>
    <w:rsid w:val="106C2D6C"/>
    <w:rsid w:val="107E166A"/>
    <w:rsid w:val="10D976F4"/>
    <w:rsid w:val="113901DC"/>
    <w:rsid w:val="11C73FD2"/>
    <w:rsid w:val="124712CA"/>
    <w:rsid w:val="12763B5D"/>
    <w:rsid w:val="12815A55"/>
    <w:rsid w:val="12F64B6E"/>
    <w:rsid w:val="130F32F3"/>
    <w:rsid w:val="13427DB4"/>
    <w:rsid w:val="13B10D48"/>
    <w:rsid w:val="13BD566C"/>
    <w:rsid w:val="15EB4733"/>
    <w:rsid w:val="17A9332F"/>
    <w:rsid w:val="17AA0E77"/>
    <w:rsid w:val="18FD1F7C"/>
    <w:rsid w:val="190455CA"/>
    <w:rsid w:val="19A533D3"/>
    <w:rsid w:val="19E716B5"/>
    <w:rsid w:val="19F00251"/>
    <w:rsid w:val="1A6D0ACE"/>
    <w:rsid w:val="1AF8344E"/>
    <w:rsid w:val="1B495A3F"/>
    <w:rsid w:val="1BC16193"/>
    <w:rsid w:val="1BD77F5C"/>
    <w:rsid w:val="1BE5744F"/>
    <w:rsid w:val="1C5F65B3"/>
    <w:rsid w:val="1CDD5DC4"/>
    <w:rsid w:val="1D6E17A5"/>
    <w:rsid w:val="1EA93A7E"/>
    <w:rsid w:val="1F680BA2"/>
    <w:rsid w:val="1F95570F"/>
    <w:rsid w:val="1FF00B97"/>
    <w:rsid w:val="20943036"/>
    <w:rsid w:val="214A4140"/>
    <w:rsid w:val="218D48F0"/>
    <w:rsid w:val="22665CC8"/>
    <w:rsid w:val="22A12CA2"/>
    <w:rsid w:val="23985AAC"/>
    <w:rsid w:val="23A243DF"/>
    <w:rsid w:val="23E66539"/>
    <w:rsid w:val="23FB655A"/>
    <w:rsid w:val="241D255E"/>
    <w:rsid w:val="24560854"/>
    <w:rsid w:val="24644E71"/>
    <w:rsid w:val="25201A8E"/>
    <w:rsid w:val="25505010"/>
    <w:rsid w:val="255A12BB"/>
    <w:rsid w:val="257E5957"/>
    <w:rsid w:val="257F4F67"/>
    <w:rsid w:val="25984789"/>
    <w:rsid w:val="25AE77A5"/>
    <w:rsid w:val="25B83F05"/>
    <w:rsid w:val="269528E7"/>
    <w:rsid w:val="28174C68"/>
    <w:rsid w:val="28A543BF"/>
    <w:rsid w:val="28CD7CC8"/>
    <w:rsid w:val="29E96FB6"/>
    <w:rsid w:val="2A202079"/>
    <w:rsid w:val="2A996846"/>
    <w:rsid w:val="2AAB7A98"/>
    <w:rsid w:val="2BF5169E"/>
    <w:rsid w:val="2C3A1B18"/>
    <w:rsid w:val="2C5C1A8E"/>
    <w:rsid w:val="2CA46978"/>
    <w:rsid w:val="2CC51992"/>
    <w:rsid w:val="2D3146BD"/>
    <w:rsid w:val="2D5A6706"/>
    <w:rsid w:val="2DC05272"/>
    <w:rsid w:val="2DCE2591"/>
    <w:rsid w:val="2DE126C3"/>
    <w:rsid w:val="2E0971A4"/>
    <w:rsid w:val="2E70578D"/>
    <w:rsid w:val="2FA633A8"/>
    <w:rsid w:val="30202DD3"/>
    <w:rsid w:val="30872E52"/>
    <w:rsid w:val="30EF3D41"/>
    <w:rsid w:val="31D96CE4"/>
    <w:rsid w:val="32456B11"/>
    <w:rsid w:val="329A6E6D"/>
    <w:rsid w:val="32B133F5"/>
    <w:rsid w:val="32BA66DC"/>
    <w:rsid w:val="330B6E58"/>
    <w:rsid w:val="330C0581"/>
    <w:rsid w:val="34767465"/>
    <w:rsid w:val="34846881"/>
    <w:rsid w:val="356A3C40"/>
    <w:rsid w:val="35D92065"/>
    <w:rsid w:val="35E86141"/>
    <w:rsid w:val="36062A6B"/>
    <w:rsid w:val="367B6FB5"/>
    <w:rsid w:val="3699551B"/>
    <w:rsid w:val="3701445F"/>
    <w:rsid w:val="372A2866"/>
    <w:rsid w:val="375B7373"/>
    <w:rsid w:val="38415ABB"/>
    <w:rsid w:val="38F85F1B"/>
    <w:rsid w:val="3A58372A"/>
    <w:rsid w:val="3AFE07F6"/>
    <w:rsid w:val="3B13024B"/>
    <w:rsid w:val="3B4768BF"/>
    <w:rsid w:val="3BC37FED"/>
    <w:rsid w:val="3E015FF2"/>
    <w:rsid w:val="3E395215"/>
    <w:rsid w:val="3E41505C"/>
    <w:rsid w:val="3F8213B4"/>
    <w:rsid w:val="3F8A712B"/>
    <w:rsid w:val="3FF1649A"/>
    <w:rsid w:val="404F2CDB"/>
    <w:rsid w:val="40576B60"/>
    <w:rsid w:val="407212D4"/>
    <w:rsid w:val="40853EED"/>
    <w:rsid w:val="40D4055A"/>
    <w:rsid w:val="41515CA2"/>
    <w:rsid w:val="415A20AD"/>
    <w:rsid w:val="415C1F10"/>
    <w:rsid w:val="41EA3241"/>
    <w:rsid w:val="420B38E3"/>
    <w:rsid w:val="42AA2204"/>
    <w:rsid w:val="43334853"/>
    <w:rsid w:val="43FE3C91"/>
    <w:rsid w:val="44883558"/>
    <w:rsid w:val="455F3069"/>
    <w:rsid w:val="4577358E"/>
    <w:rsid w:val="45D9128A"/>
    <w:rsid w:val="45EE141C"/>
    <w:rsid w:val="46984EC4"/>
    <w:rsid w:val="46E20A4A"/>
    <w:rsid w:val="46E8719F"/>
    <w:rsid w:val="476364D9"/>
    <w:rsid w:val="48060B26"/>
    <w:rsid w:val="48334754"/>
    <w:rsid w:val="487568A2"/>
    <w:rsid w:val="49186137"/>
    <w:rsid w:val="491D214E"/>
    <w:rsid w:val="49347AE3"/>
    <w:rsid w:val="497F3FD6"/>
    <w:rsid w:val="4A527BD5"/>
    <w:rsid w:val="4B3A1029"/>
    <w:rsid w:val="4BE336A1"/>
    <w:rsid w:val="4E221B38"/>
    <w:rsid w:val="4E4A7541"/>
    <w:rsid w:val="4F262B99"/>
    <w:rsid w:val="4FC41575"/>
    <w:rsid w:val="4FD60B6D"/>
    <w:rsid w:val="50C555A5"/>
    <w:rsid w:val="53F228F9"/>
    <w:rsid w:val="54210D44"/>
    <w:rsid w:val="54882B71"/>
    <w:rsid w:val="56D71B8E"/>
    <w:rsid w:val="57316B57"/>
    <w:rsid w:val="575A471B"/>
    <w:rsid w:val="57C640A7"/>
    <w:rsid w:val="57CB465B"/>
    <w:rsid w:val="588F7842"/>
    <w:rsid w:val="58D06A3E"/>
    <w:rsid w:val="59B21A6C"/>
    <w:rsid w:val="59CF2CAA"/>
    <w:rsid w:val="59DC5003"/>
    <w:rsid w:val="5A0133DC"/>
    <w:rsid w:val="5A0A75B7"/>
    <w:rsid w:val="5AAE2AF5"/>
    <w:rsid w:val="5B452A8A"/>
    <w:rsid w:val="5B536699"/>
    <w:rsid w:val="5C5D0D87"/>
    <w:rsid w:val="5D32123D"/>
    <w:rsid w:val="5D7F623B"/>
    <w:rsid w:val="5DEB7202"/>
    <w:rsid w:val="5E411A7A"/>
    <w:rsid w:val="5EA105A9"/>
    <w:rsid w:val="5F7D7450"/>
    <w:rsid w:val="5F97141E"/>
    <w:rsid w:val="60401DB2"/>
    <w:rsid w:val="60DF620F"/>
    <w:rsid w:val="60EA0757"/>
    <w:rsid w:val="60EC4488"/>
    <w:rsid w:val="6115578D"/>
    <w:rsid w:val="61187474"/>
    <w:rsid w:val="617E105C"/>
    <w:rsid w:val="61BF5E72"/>
    <w:rsid w:val="61E56A23"/>
    <w:rsid w:val="62A83B36"/>
    <w:rsid w:val="63554566"/>
    <w:rsid w:val="63915304"/>
    <w:rsid w:val="63F448A0"/>
    <w:rsid w:val="652C579B"/>
    <w:rsid w:val="659A6BA8"/>
    <w:rsid w:val="65C608A9"/>
    <w:rsid w:val="65E060D1"/>
    <w:rsid w:val="66464203"/>
    <w:rsid w:val="66594662"/>
    <w:rsid w:val="67502F43"/>
    <w:rsid w:val="68F06DD6"/>
    <w:rsid w:val="6910451E"/>
    <w:rsid w:val="692B17CB"/>
    <w:rsid w:val="693623FE"/>
    <w:rsid w:val="69373799"/>
    <w:rsid w:val="694A3DEF"/>
    <w:rsid w:val="6A525DD8"/>
    <w:rsid w:val="6AB57FE0"/>
    <w:rsid w:val="6B5878FC"/>
    <w:rsid w:val="6B77349C"/>
    <w:rsid w:val="6BF11B40"/>
    <w:rsid w:val="6D2D3BAD"/>
    <w:rsid w:val="6EB5042A"/>
    <w:rsid w:val="6EBE0BBA"/>
    <w:rsid w:val="6F412535"/>
    <w:rsid w:val="6FDC4A9D"/>
    <w:rsid w:val="6FE70C3C"/>
    <w:rsid w:val="70197175"/>
    <w:rsid w:val="709B400C"/>
    <w:rsid w:val="70CF70CA"/>
    <w:rsid w:val="70EB650A"/>
    <w:rsid w:val="710B7987"/>
    <w:rsid w:val="721B0E72"/>
    <w:rsid w:val="722103D4"/>
    <w:rsid w:val="72872262"/>
    <w:rsid w:val="730E4AC0"/>
    <w:rsid w:val="73D95067"/>
    <w:rsid w:val="73FE037C"/>
    <w:rsid w:val="744030F2"/>
    <w:rsid w:val="7546234C"/>
    <w:rsid w:val="75B04C72"/>
    <w:rsid w:val="75B95AB7"/>
    <w:rsid w:val="76191423"/>
    <w:rsid w:val="76F67D01"/>
    <w:rsid w:val="778E6082"/>
    <w:rsid w:val="7796291A"/>
    <w:rsid w:val="77C643CB"/>
    <w:rsid w:val="77D3241A"/>
    <w:rsid w:val="785E3A65"/>
    <w:rsid w:val="78C31589"/>
    <w:rsid w:val="79986240"/>
    <w:rsid w:val="79A33E26"/>
    <w:rsid w:val="79ED32F3"/>
    <w:rsid w:val="7A4276F5"/>
    <w:rsid w:val="7AB12168"/>
    <w:rsid w:val="7B2C19F8"/>
    <w:rsid w:val="7C89609C"/>
    <w:rsid w:val="7C8B7BDA"/>
    <w:rsid w:val="7CB90C4D"/>
    <w:rsid w:val="7D2E3E28"/>
    <w:rsid w:val="7D875E17"/>
    <w:rsid w:val="7E136292"/>
    <w:rsid w:val="7E393553"/>
    <w:rsid w:val="7EF94EFC"/>
    <w:rsid w:val="7F0F31A3"/>
    <w:rsid w:val="7F304357"/>
    <w:rsid w:val="7F440D35"/>
    <w:rsid w:val="7F9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Cs w:val="24"/>
      <w:lang w:bidi="gu-IN"/>
    </w:rPr>
  </w:style>
  <w:style w:type="paragraph" w:styleId="13">
    <w:name w:val="annotation text"/>
    <w:basedOn w:val="1"/>
    <w:semiHidden/>
    <w:unhideWhenUsed/>
    <w:qFormat/>
    <w:uiPriority w:val="99"/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Body Text Indent"/>
    <w:basedOn w:val="1"/>
    <w:qFormat/>
    <w:uiPriority w:val="0"/>
    <w:pPr>
      <w:tabs>
        <w:tab w:val="left" w:pos="8280"/>
      </w:tabs>
      <w:ind w:firstLine="210" w:firstLineChars="100"/>
    </w:pPr>
  </w:style>
  <w:style w:type="paragraph" w:styleId="16">
    <w:name w:val="endnote text"/>
    <w:basedOn w:val="1"/>
    <w:link w:val="55"/>
    <w:semiHidden/>
    <w:unhideWhenUsed/>
    <w:qFormat/>
    <w:uiPriority w:val="99"/>
    <w:pPr>
      <w:snapToGrid w:val="0"/>
    </w:pPr>
  </w:style>
  <w:style w:type="paragraph" w:styleId="17">
    <w:name w:val="Balloon Text"/>
    <w:basedOn w:val="1"/>
    <w:link w:val="5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9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Subtitle"/>
    <w:basedOn w:val="1"/>
    <w:next w:val="1"/>
    <w:link w:val="4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62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22">
    <w:name w:val="Title"/>
    <w:basedOn w:val="1"/>
    <w:next w:val="1"/>
    <w:link w:val="4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3">
    <w:name w:val="Body Text First Indent"/>
    <w:basedOn w:val="14"/>
    <w:next w:val="15"/>
    <w:qFormat/>
    <w:uiPriority w:val="0"/>
    <w:pPr>
      <w:ind w:firstLine="420" w:firstLineChars="100"/>
    </w:p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endnote reference"/>
    <w:basedOn w:val="25"/>
    <w:semiHidden/>
    <w:unhideWhenUsed/>
    <w:qFormat/>
    <w:uiPriority w:val="99"/>
    <w:rPr>
      <w:vertAlign w:val="superscript"/>
    </w:rPr>
  </w:style>
  <w:style w:type="character" w:styleId="28">
    <w:name w:val="Emphasis"/>
    <w:basedOn w:val="25"/>
    <w:qFormat/>
    <w:uiPriority w:val="20"/>
    <w:rPr>
      <w:i/>
      <w:iCs/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styleId="30">
    <w:name w:val="footnote reference"/>
    <w:basedOn w:val="25"/>
    <w:semiHidden/>
    <w:unhideWhenUsed/>
    <w:qFormat/>
    <w:uiPriority w:val="99"/>
    <w:rPr>
      <w:vertAlign w:val="superscript"/>
    </w:rPr>
  </w:style>
  <w:style w:type="character" w:customStyle="1" w:styleId="31">
    <w:name w:val="标题 1 Char"/>
    <w:basedOn w:val="2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2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3">
    <w:name w:val="标题 3 Char"/>
    <w:basedOn w:val="2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">
    <w:name w:val="标题 4 Char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标题 5 Char"/>
    <w:basedOn w:val="25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6">
    <w:name w:val="标题 6 Char"/>
    <w:basedOn w:val="25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7">
    <w:name w:val="标题 7 Char"/>
    <w:basedOn w:val="25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标题 8 Char"/>
    <w:basedOn w:val="25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9">
    <w:name w:val="标题 9 Char"/>
    <w:basedOn w:val="2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标题 Char"/>
    <w:basedOn w:val="25"/>
    <w:link w:val="2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1">
    <w:name w:val="副标题 Char"/>
    <w:basedOn w:val="25"/>
    <w:link w:val="2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2">
    <w:name w:val="No Spacing"/>
    <w:link w:val="5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List Paragraph"/>
    <w:basedOn w:val="1"/>
    <w:qFormat/>
    <w:uiPriority w:val="34"/>
    <w:pPr>
      <w:ind w:firstLine="0" w:firstLineChars="0"/>
      <w:contextualSpacing/>
    </w:pPr>
  </w:style>
  <w:style w:type="paragraph" w:styleId="44">
    <w:name w:val="Quote"/>
    <w:basedOn w:val="1"/>
    <w:next w:val="1"/>
    <w:link w:val="4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引用 Char"/>
    <w:basedOn w:val="25"/>
    <w:link w:val="4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6">
    <w:name w:val="Intense Quote"/>
    <w:basedOn w:val="1"/>
    <w:next w:val="1"/>
    <w:link w:val="4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7">
    <w:name w:val="明显引用 Char"/>
    <w:basedOn w:val="25"/>
    <w:link w:val="4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8">
    <w:name w:val="不明显强调1"/>
    <w:basedOn w:val="2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9">
    <w:name w:val="明显强调1"/>
    <w:basedOn w:val="2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0">
    <w:name w:val="不明显参考1"/>
    <w:basedOn w:val="2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51">
    <w:name w:val="明显参考1"/>
    <w:basedOn w:val="2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2">
    <w:name w:val="书籍标题1"/>
    <w:basedOn w:val="25"/>
    <w:qFormat/>
    <w:uiPriority w:val="33"/>
    <w:rPr>
      <w:b/>
      <w:bCs/>
      <w:smallCaps/>
      <w:spacing w:val="5"/>
    </w:rPr>
  </w:style>
  <w:style w:type="paragraph" w:customStyle="1" w:styleId="5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4">
    <w:name w:val="无间隔 Char"/>
    <w:basedOn w:val="25"/>
    <w:link w:val="42"/>
    <w:qFormat/>
    <w:uiPriority w:val="1"/>
  </w:style>
  <w:style w:type="character" w:customStyle="1" w:styleId="55">
    <w:name w:val="尾注文本 Char"/>
    <w:basedOn w:val="25"/>
    <w:link w:val="16"/>
    <w:semiHidden/>
    <w:qFormat/>
    <w:uiPriority w:val="99"/>
  </w:style>
  <w:style w:type="character" w:customStyle="1" w:styleId="56">
    <w:name w:val="页眉 Char"/>
    <w:basedOn w:val="25"/>
    <w:link w:val="19"/>
    <w:qFormat/>
    <w:uiPriority w:val="99"/>
    <w:rPr>
      <w:sz w:val="18"/>
      <w:szCs w:val="18"/>
    </w:rPr>
  </w:style>
  <w:style w:type="character" w:customStyle="1" w:styleId="57">
    <w:name w:val="页脚 Char"/>
    <w:basedOn w:val="25"/>
    <w:link w:val="18"/>
    <w:qFormat/>
    <w:uiPriority w:val="99"/>
    <w:rPr>
      <w:sz w:val="18"/>
      <w:szCs w:val="18"/>
    </w:rPr>
  </w:style>
  <w:style w:type="character" w:customStyle="1" w:styleId="58">
    <w:name w:val="批注框文本 Char"/>
    <w:basedOn w:val="25"/>
    <w:link w:val="17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59">
    <w:name w:val="修订1"/>
    <w:hidden/>
    <w:semiHidden/>
    <w:qFormat/>
    <w:uiPriority w:val="99"/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customStyle="1" w:styleId="60">
    <w:name w:val="修订2"/>
    <w:hidden/>
    <w:unhideWhenUsed/>
    <w:qFormat/>
    <w:uiPriority w:val="99"/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customStyle="1" w:styleId="61">
    <w:name w:val="修订3"/>
    <w:hidden/>
    <w:semiHidden/>
    <w:qFormat/>
    <w:uiPriority w:val="99"/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character" w:customStyle="1" w:styleId="62">
    <w:name w:val="脚注文本 Char"/>
    <w:basedOn w:val="25"/>
    <w:link w:val="21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3">
    <w:name w:val="fontstyle01"/>
    <w:basedOn w:val="2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64">
    <w:name w:val="fontstyle11"/>
    <w:basedOn w:val="25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270F-06EC-4D9B-AEB2-A53EC6FF7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6414</Words>
  <Characters>7775</Characters>
  <Lines>58</Lines>
  <Paragraphs>16</Paragraphs>
  <TotalTime>25</TotalTime>
  <ScaleCrop>false</ScaleCrop>
  <LinksUpToDate>false</LinksUpToDate>
  <CharactersWithSpaces>8103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2023-04-20T07:15:00Z</dcterms:created>
  <dc:creator>admin</dc:creator>
  <cp:lastModifiedBy>朱伟铭</cp:lastModifiedBy>
  <cp:lastPrinted>2023-04-21T00:21:00Z</cp:lastPrinted>
  <dcterms:modified xsi:type="dcterms:W3CDTF">2023-04-23T03:00:44Z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DC524C95D1C44BBDB3C27148361B77F5</vt:lpwstr>
  </property>
</Properties>
</file>