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b/>
          <w:bCs/>
          <w:kern w:val="44"/>
          <w:sz w:val="30"/>
          <w:szCs w:val="44"/>
          <w:lang w:val="en-US" w:eastAsia="zh-CN" w:bidi="ar-SA"/>
        </w:rPr>
      </w:pPr>
      <w:bookmarkStart w:id="0" w:name="_Toc24724717"/>
      <w:r>
        <w:rPr>
          <w:rFonts w:hint="eastAsia" w:ascii="方正小标宋_GBK" w:hAnsi="方正小标宋_GBK" w:eastAsia="方正小标宋_GBK"/>
          <w:b/>
          <w:bCs/>
          <w:kern w:val="44"/>
          <w:sz w:val="30"/>
          <w:szCs w:val="44"/>
          <w:lang w:val="en-US" w:eastAsia="zh-CN" w:bidi="ar-SA"/>
        </w:rPr>
        <w:t>（二十二）横</w:t>
      </w:r>
      <w:bookmarkStart w:id="1" w:name="_GoBack"/>
      <w:bookmarkEnd w:id="1"/>
      <w:r>
        <w:rPr>
          <w:rFonts w:hint="eastAsia" w:ascii="方正小标宋_GBK" w:hAnsi="方正小标宋_GBK" w:eastAsia="方正小标宋_GBK"/>
          <w:b/>
          <w:bCs/>
          <w:kern w:val="44"/>
          <w:sz w:val="30"/>
          <w:szCs w:val="44"/>
          <w:lang w:val="en-US" w:eastAsia="zh-CN" w:bidi="ar-SA"/>
        </w:rPr>
        <w:t>栏镇保障性住房领域基层政务公开标准目录</w:t>
      </w:r>
      <w:bookmarkEnd w:id="0"/>
    </w:p>
    <w:tbl>
      <w:tblPr>
        <w:tblStyle w:val="4"/>
        <w:tblW w:w="142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8"/>
        <w:gridCol w:w="517"/>
        <w:gridCol w:w="1241"/>
        <w:gridCol w:w="1788"/>
        <w:gridCol w:w="4430"/>
        <w:gridCol w:w="774"/>
        <w:gridCol w:w="774"/>
        <w:gridCol w:w="626"/>
        <w:gridCol w:w="857"/>
        <w:gridCol w:w="857"/>
        <w:gridCol w:w="703"/>
        <w:gridCol w:w="703"/>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7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12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政策法规</w:t>
            </w: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法律法规</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文件名称；文号；发布部门；发布日期；实施日期；正文。</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《已购公有住房和经济适用住房上市出售管理暂行办法》、《廉租住房保障办法》、《公共租赁住房管理办法》、《住房城乡建设部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信息获取（形成、变更）20个工作日内</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人民政府、住房保障行政主管部门</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■政府网站</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 xml:space="preserve">    </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政策文件</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文件名称；文号；发布部门；发布日期；实施日期；正文。</w:t>
            </w: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保障性住房信息</w:t>
            </w: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公租房承租资格审核</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资格审批数</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信息形成（变更）20个工作日内</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保障性住房政务信息制作部门、保存部门</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■政府网站     </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 xml:space="preserve">  </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房源信息</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项目名称；保障性住房类型；竣工日期；地址；住房套数；待分配套数；已分配套数；套型；面积；</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政府信息公开条例》、《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信息形成（变更）20个工作日内</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住房保障行政主管部门</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■政府网站     </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 xml:space="preserve">  </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公租房承租资格审核</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资格审批</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信息形成（变更）20个工作日内</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保障性住房政务信息制作部门、保存部门</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■政府网站     </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 xml:space="preserve">  </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6"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退出公示</w:t>
            </w:r>
          </w:p>
        </w:tc>
        <w:tc>
          <w:tcPr>
            <w:tcW w:w="1788"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sz w:val="20"/>
                <w:szCs w:val="20"/>
                <w:u w:val="none"/>
              </w:rPr>
              <w:t>退出公示</w:t>
            </w:r>
          </w:p>
        </w:tc>
        <w:tc>
          <w:tcPr>
            <w:tcW w:w="4430" w:type="dxa"/>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7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信息形成（变更）20个工作日内</w:t>
            </w:r>
          </w:p>
        </w:tc>
        <w:tc>
          <w:tcPr>
            <w:tcW w:w="7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保障性住房政务信息制作部门、保存部门</w:t>
            </w:r>
          </w:p>
        </w:tc>
        <w:tc>
          <w:tcPr>
            <w:tcW w:w="6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■政府网站       </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sz w:val="24"/>
                <w:szCs w:val="24"/>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办事指南</w:t>
            </w: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申请保障</w:t>
            </w:r>
          </w:p>
        </w:tc>
        <w:tc>
          <w:tcPr>
            <w:tcW w:w="17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申请条件；申请所需材料及范本；申请流程和办理时限；申请受理（办理）机构；受理地点；咨询电话、监督电话等。</w:t>
            </w:r>
          </w:p>
        </w:tc>
        <w:tc>
          <w:tcPr>
            <w:tcW w:w="44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《关于全面推进政务公开工作的意见》、《国务院关于加快推进“互联网+政务服务”工作的指导意见》</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信息形成（变更）20个工作日内</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保障性住房政务信息制作部门、保存部门</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■政府网站</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 xml:space="preserve">             </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4430"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等线" w:eastAsia="仿宋_GB2312" w:cs="仿宋_GB2312"/>
                <w:i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等线" w:eastAsia="仿宋_GB2312" w:cs="仿宋_GB2312"/>
                <w:i w:val="0"/>
                <w:color w:val="000000"/>
                <w:sz w:val="20"/>
                <w:szCs w:val="20"/>
                <w:u w:val="none"/>
              </w:rPr>
            </w:pPr>
          </w:p>
        </w:tc>
      </w:tr>
    </w:tbl>
    <w:p>
      <w:pPr>
        <w:jc w:val="center"/>
        <w:rPr>
          <w:rFonts w:hint="eastAsia" w:ascii="方正小标宋_GBK" w:hAnsi="方正小标宋_GBK" w:eastAsia="方正小标宋_GBK"/>
          <w:b/>
          <w:bCs/>
          <w:kern w:val="44"/>
          <w:sz w:val="30"/>
          <w:szCs w:val="4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682F"/>
    <w:rsid w:val="6E17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2020-12-01T06:28:35Z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