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  <w:bookmarkStart w:id="1" w:name="_GoBack"/>
      <w:bookmarkEnd w:id="1"/>
      <w:r>
        <w:rPr>
          <w:rFonts w:hint="eastAsia" w:ascii="方正小标宋_GBK" w:hAnsi="方正小标宋_GBK" w:eastAsia="方正小标宋_GBK"/>
          <w:b/>
          <w:bCs/>
          <w:sz w:val="30"/>
        </w:rPr>
        <w:t>（二十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一</w:t>
      </w:r>
      <w:r>
        <w:rPr>
          <w:rFonts w:hint="eastAsia" w:ascii="方正小标宋_GBK" w:hAnsi="方正小标宋_GBK" w:eastAsia="方正小标宋_GBK"/>
          <w:b/>
          <w:bCs/>
          <w:sz w:val="30"/>
        </w:rPr>
        <w:t>）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r>
        <w:rPr>
          <w:rFonts w:hint="eastAsia" w:ascii="方正小标宋_GBK" w:hAnsi="方正小标宋_GBK" w:eastAsia="方正小标宋_GBK"/>
          <w:b/>
          <w:bCs/>
          <w:sz w:val="30"/>
        </w:rPr>
        <w:t>食品药品监管领域基层政务公开标准目录</w:t>
      </w:r>
    </w:p>
    <w:tbl>
      <w:tblPr>
        <w:tblStyle w:val="4"/>
        <w:tblW w:w="15480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bookmarkStart w:id="0" w:name="_Toc24724714"/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镇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食品生产经营许可基本信息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药品零售许可企业基本信息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级组织的医疗器械抽检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中山市市场监督管理局横栏分局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bookmarkEnd w:id="0"/>
    </w:tbl>
    <w:p>
      <w:p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2124"/>
    <w:rsid w:val="6420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customStyle="1" w:styleId="5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