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340" w:after="330" w:line="240" w:lineRule="auto"/>
        <w:ind w:left="0" w:leftChars="0" w:right="0" w:rightChars="0" w:firstLine="0" w:firstLineChars="0"/>
        <w:jc w:val="center"/>
        <w:textAlignment w:val="auto"/>
        <w:outlineLvl w:val="0"/>
        <w:rPr>
          <w:rFonts w:hint="eastAsia" w:ascii="方正小标宋_GBK" w:hAnsi="方正小标宋_GBK" w:eastAsia="方正小标宋_GBK"/>
          <w:b/>
          <w:bCs/>
          <w:sz w:val="30"/>
        </w:rPr>
      </w:pPr>
      <w:bookmarkStart w:id="0" w:name="_Toc24724706"/>
      <w:r>
        <w:rPr>
          <w:rFonts w:hint="eastAsia" w:ascii="方正小标宋_GBK" w:hAnsi="方正小标宋_GBK" w:eastAsia="方正小标宋_GBK"/>
          <w:b/>
          <w:bCs/>
          <w:sz w:val="30"/>
        </w:rPr>
        <w:t>（</w:t>
      </w:r>
      <w:r>
        <w:rPr>
          <w:rFonts w:hint="eastAsia" w:ascii="方正小标宋_GBK" w:hAnsi="方正小标宋_GBK" w:eastAsia="方正小标宋_GBK"/>
          <w:b/>
          <w:bCs/>
          <w:sz w:val="30"/>
          <w:lang w:eastAsia="zh-CN"/>
        </w:rPr>
        <w:t>二</w:t>
      </w:r>
      <w:r>
        <w:rPr>
          <w:rFonts w:hint="eastAsia" w:ascii="方正小标宋_GBK" w:hAnsi="方正小标宋_GBK" w:eastAsia="方正小标宋_GBK"/>
          <w:b/>
          <w:bCs/>
          <w:sz w:val="30"/>
        </w:rPr>
        <w:t>）</w:t>
      </w:r>
      <w:r>
        <w:rPr>
          <w:rFonts w:hint="eastAsia" w:ascii="方正小标宋_GBK" w:hAnsi="方正小标宋_GBK" w:eastAsia="方正小标宋_GBK"/>
          <w:b/>
          <w:bCs/>
          <w:sz w:val="30"/>
          <w:lang w:eastAsia="zh-CN"/>
        </w:rPr>
        <w:t>横栏镇</w:t>
      </w:r>
      <w:r>
        <w:rPr>
          <w:rFonts w:hint="eastAsia" w:ascii="方正小标宋_GBK" w:hAnsi="方正小标宋_GBK" w:eastAsia="方正小标宋_GBK"/>
          <w:b/>
          <w:bCs/>
          <w:sz w:val="30"/>
        </w:rPr>
        <w:t>义务教育</w:t>
      </w:r>
      <w:bookmarkStart w:id="1" w:name="_GoBack"/>
      <w:bookmarkEnd w:id="1"/>
      <w:r>
        <w:rPr>
          <w:rFonts w:hint="eastAsia" w:ascii="方正小标宋_GBK" w:hAnsi="方正小标宋_GBK" w:eastAsia="方正小标宋_GBK"/>
          <w:b/>
          <w:bCs/>
          <w:sz w:val="30"/>
        </w:rPr>
        <w:t>领域基层政务公开标准目录</w:t>
      </w:r>
      <w:bookmarkEnd w:id="0"/>
    </w:p>
    <w:tbl>
      <w:tblPr>
        <w:tblStyle w:val="5"/>
        <w:tblW w:w="15545"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25"/>
        <w:gridCol w:w="1125"/>
        <w:gridCol w:w="2220"/>
        <w:gridCol w:w="2230"/>
        <w:gridCol w:w="1620"/>
        <w:gridCol w:w="900"/>
        <w:gridCol w:w="2160"/>
        <w:gridCol w:w="540"/>
        <w:gridCol w:w="709"/>
        <w:gridCol w:w="551"/>
        <w:gridCol w:w="720"/>
        <w:gridCol w:w="720"/>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40" w:type="dxa"/>
            <w:vMerge w:val="restart"/>
            <w:vAlign w:val="center"/>
          </w:tcPr>
          <w:p>
            <w:pPr>
              <w:widowControl/>
              <w:jc w:val="center"/>
              <w:rPr>
                <w:rFonts w:hint="eastAsia" w:ascii="黑体" w:hAnsi="Times New Roman" w:eastAsia="黑体"/>
                <w:color w:val="auto"/>
                <w:kern w:val="0"/>
                <w:sz w:val="22"/>
                <w:highlight w:val="none"/>
              </w:rPr>
            </w:pPr>
            <w:r>
              <w:rPr>
                <w:rFonts w:hint="eastAsia" w:ascii="黑体" w:hAnsi="宋体" w:eastAsia="黑体"/>
                <w:color w:val="auto"/>
                <w:kern w:val="0"/>
                <w:sz w:val="22"/>
                <w:highlight w:val="none"/>
              </w:rPr>
              <w:t>序号</w:t>
            </w:r>
          </w:p>
        </w:tc>
        <w:tc>
          <w:tcPr>
            <w:tcW w:w="1850"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公开事项</w:t>
            </w:r>
          </w:p>
        </w:tc>
        <w:tc>
          <w:tcPr>
            <w:tcW w:w="222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公开内容（要素）</w:t>
            </w:r>
          </w:p>
        </w:tc>
        <w:tc>
          <w:tcPr>
            <w:tcW w:w="223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公开依据</w:t>
            </w:r>
          </w:p>
        </w:tc>
        <w:tc>
          <w:tcPr>
            <w:tcW w:w="162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公开时限</w:t>
            </w:r>
          </w:p>
        </w:tc>
        <w:tc>
          <w:tcPr>
            <w:tcW w:w="90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公开主体</w:t>
            </w:r>
          </w:p>
        </w:tc>
        <w:tc>
          <w:tcPr>
            <w:tcW w:w="2160" w:type="dxa"/>
            <w:vMerge w:val="restart"/>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公开渠道和载体</w:t>
            </w:r>
          </w:p>
        </w:tc>
        <w:tc>
          <w:tcPr>
            <w:tcW w:w="1249"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公开对象</w:t>
            </w:r>
          </w:p>
        </w:tc>
        <w:tc>
          <w:tcPr>
            <w:tcW w:w="1271"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公开方式</w:t>
            </w:r>
          </w:p>
        </w:tc>
        <w:tc>
          <w:tcPr>
            <w:tcW w:w="1505" w:type="dxa"/>
            <w:gridSpan w:val="2"/>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0" w:hRule="atLeast"/>
        </w:trPr>
        <w:tc>
          <w:tcPr>
            <w:tcW w:w="540" w:type="dxa"/>
            <w:vMerge w:val="continue"/>
            <w:vAlign w:val="center"/>
          </w:tcPr>
          <w:p>
            <w:pPr>
              <w:widowControl/>
              <w:jc w:val="left"/>
              <w:rPr>
                <w:rFonts w:hint="eastAsia" w:ascii="黑体" w:hAnsi="Times New Roman" w:eastAsia="黑体"/>
                <w:color w:val="auto"/>
                <w:kern w:val="0"/>
                <w:sz w:val="22"/>
                <w:highlight w:val="none"/>
              </w:rPr>
            </w:pPr>
          </w:p>
        </w:tc>
        <w:tc>
          <w:tcPr>
            <w:tcW w:w="725"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一级事项</w:t>
            </w:r>
          </w:p>
        </w:tc>
        <w:tc>
          <w:tcPr>
            <w:tcW w:w="1125"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二级事项</w:t>
            </w:r>
          </w:p>
        </w:tc>
        <w:tc>
          <w:tcPr>
            <w:tcW w:w="2220" w:type="dxa"/>
            <w:vMerge w:val="continue"/>
            <w:vAlign w:val="center"/>
          </w:tcPr>
          <w:p>
            <w:pPr>
              <w:widowControl/>
              <w:jc w:val="left"/>
              <w:rPr>
                <w:rFonts w:hint="eastAsia" w:ascii="黑体" w:hAnsi="宋体" w:eastAsia="黑体" w:cs="宋体"/>
                <w:color w:val="auto"/>
                <w:kern w:val="0"/>
                <w:sz w:val="22"/>
                <w:highlight w:val="none"/>
              </w:rPr>
            </w:pPr>
          </w:p>
        </w:tc>
        <w:tc>
          <w:tcPr>
            <w:tcW w:w="2230" w:type="dxa"/>
            <w:vMerge w:val="continue"/>
            <w:vAlign w:val="center"/>
          </w:tcPr>
          <w:p>
            <w:pPr>
              <w:widowControl/>
              <w:jc w:val="left"/>
              <w:rPr>
                <w:rFonts w:hint="eastAsia" w:ascii="黑体" w:hAnsi="宋体" w:eastAsia="黑体" w:cs="宋体"/>
                <w:color w:val="auto"/>
                <w:kern w:val="0"/>
                <w:sz w:val="22"/>
                <w:highlight w:val="none"/>
              </w:rPr>
            </w:pPr>
          </w:p>
        </w:tc>
        <w:tc>
          <w:tcPr>
            <w:tcW w:w="1620" w:type="dxa"/>
            <w:vMerge w:val="continue"/>
            <w:vAlign w:val="center"/>
          </w:tcPr>
          <w:p>
            <w:pPr>
              <w:widowControl/>
              <w:jc w:val="left"/>
              <w:rPr>
                <w:rFonts w:hint="eastAsia" w:ascii="黑体" w:hAnsi="宋体" w:eastAsia="黑体" w:cs="宋体"/>
                <w:color w:val="auto"/>
                <w:kern w:val="0"/>
                <w:sz w:val="22"/>
                <w:highlight w:val="none"/>
              </w:rPr>
            </w:pPr>
          </w:p>
        </w:tc>
        <w:tc>
          <w:tcPr>
            <w:tcW w:w="900" w:type="dxa"/>
            <w:vMerge w:val="continue"/>
            <w:vAlign w:val="center"/>
          </w:tcPr>
          <w:p>
            <w:pPr>
              <w:widowControl/>
              <w:jc w:val="left"/>
              <w:rPr>
                <w:rFonts w:hint="eastAsia" w:ascii="黑体" w:hAnsi="宋体" w:eastAsia="黑体" w:cs="宋体"/>
                <w:color w:val="auto"/>
                <w:kern w:val="0"/>
                <w:sz w:val="22"/>
                <w:highlight w:val="none"/>
              </w:rPr>
            </w:pPr>
          </w:p>
        </w:tc>
        <w:tc>
          <w:tcPr>
            <w:tcW w:w="2160" w:type="dxa"/>
            <w:vMerge w:val="continue"/>
            <w:vAlign w:val="center"/>
          </w:tcPr>
          <w:p>
            <w:pPr>
              <w:widowControl/>
              <w:jc w:val="left"/>
              <w:rPr>
                <w:rFonts w:hint="eastAsia" w:ascii="黑体" w:hAnsi="宋体" w:eastAsia="黑体" w:cs="宋体"/>
                <w:color w:val="auto"/>
                <w:kern w:val="0"/>
                <w:sz w:val="22"/>
                <w:highlight w:val="none"/>
              </w:rPr>
            </w:pPr>
          </w:p>
        </w:tc>
        <w:tc>
          <w:tcPr>
            <w:tcW w:w="54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全社会</w:t>
            </w:r>
          </w:p>
        </w:tc>
        <w:tc>
          <w:tcPr>
            <w:tcW w:w="709"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特定群众</w:t>
            </w:r>
          </w:p>
        </w:tc>
        <w:tc>
          <w:tcPr>
            <w:tcW w:w="551"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主动</w:t>
            </w:r>
          </w:p>
        </w:tc>
        <w:tc>
          <w:tcPr>
            <w:tcW w:w="720" w:type="dxa"/>
            <w:vAlign w:val="center"/>
          </w:tcPr>
          <w:p>
            <w:pPr>
              <w:widowControl/>
              <w:jc w:val="center"/>
              <w:rPr>
                <w:rFonts w:hint="eastAsia" w:ascii="黑体" w:hAnsi="宋体" w:eastAsia="黑体" w:cs="宋体"/>
                <w:color w:val="auto"/>
                <w:kern w:val="0"/>
                <w:sz w:val="22"/>
                <w:highlight w:val="none"/>
              </w:rPr>
            </w:pPr>
            <w:r>
              <w:rPr>
                <w:rFonts w:hint="eastAsia" w:ascii="黑体" w:hAnsi="宋体" w:eastAsia="黑体" w:cs="宋体"/>
                <w:color w:val="auto"/>
                <w:kern w:val="0"/>
                <w:sz w:val="22"/>
                <w:highlight w:val="none"/>
              </w:rPr>
              <w:t>依申请公开</w:t>
            </w:r>
          </w:p>
        </w:tc>
        <w:tc>
          <w:tcPr>
            <w:tcW w:w="720" w:type="dxa"/>
            <w:vAlign w:val="center"/>
          </w:tcPr>
          <w:p>
            <w:pPr>
              <w:widowControl/>
              <w:jc w:val="center"/>
              <w:rPr>
                <w:rFonts w:hint="eastAsia" w:ascii="黑体" w:hAnsi="宋体" w:eastAsia="黑体" w:cs="宋体"/>
                <w:color w:val="auto"/>
                <w:kern w:val="0"/>
                <w:sz w:val="22"/>
                <w:highlight w:val="none"/>
                <w:lang w:eastAsia="zh-CN"/>
              </w:rPr>
            </w:pPr>
            <w:r>
              <w:rPr>
                <w:rFonts w:hint="eastAsia" w:ascii="黑体" w:hAnsi="宋体" w:eastAsia="黑体" w:cs="宋体"/>
                <w:color w:val="auto"/>
                <w:kern w:val="0"/>
                <w:sz w:val="22"/>
                <w:highlight w:val="none"/>
                <w:lang w:eastAsia="zh-CN"/>
              </w:rPr>
              <w:t>镇（街）级</w:t>
            </w:r>
          </w:p>
        </w:tc>
        <w:tc>
          <w:tcPr>
            <w:tcW w:w="785" w:type="dxa"/>
            <w:vAlign w:val="center"/>
          </w:tcPr>
          <w:p>
            <w:pPr>
              <w:widowControl/>
              <w:jc w:val="center"/>
              <w:rPr>
                <w:rFonts w:hint="eastAsia" w:ascii="黑体" w:hAnsi="宋体" w:eastAsia="黑体" w:cs="宋体"/>
                <w:color w:val="auto"/>
                <w:kern w:val="0"/>
                <w:sz w:val="22"/>
                <w:highlight w:val="none"/>
                <w:lang w:eastAsia="zh-CN"/>
              </w:rPr>
            </w:pPr>
            <w:r>
              <w:rPr>
                <w:rFonts w:hint="eastAsia" w:ascii="黑体" w:hAnsi="宋体" w:eastAsia="黑体" w:cs="宋体"/>
                <w:color w:val="auto"/>
                <w:kern w:val="0"/>
                <w:sz w:val="22"/>
                <w:highlight w:val="none"/>
                <w:lang w:eastAsia="zh-CN"/>
              </w:rPr>
              <w:t>村（社区）级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olor w:val="auto"/>
                <w:sz w:val="18"/>
                <w:szCs w:val="18"/>
                <w:highlight w:val="none"/>
                <w:lang w:val="en-US" w:eastAsia="zh-CN"/>
              </w:rPr>
              <w:t>1</w:t>
            </w:r>
          </w:p>
        </w:tc>
        <w:tc>
          <w:tcPr>
            <w:tcW w:w="725" w:type="dxa"/>
            <w:vMerge w:val="restart"/>
            <w:vAlign w:val="center"/>
          </w:tcPr>
          <w:p>
            <w:pPr>
              <w:jc w:val="center"/>
              <w:rPr>
                <w:rFonts w:hint="eastAsia" w:ascii="仿宋_GB2312" w:hAnsi="宋体" w:eastAsia="仿宋_GB2312"/>
                <w:color w:val="auto"/>
                <w:sz w:val="18"/>
                <w:szCs w:val="18"/>
                <w:highlight w:val="none"/>
              </w:rPr>
            </w:pPr>
            <w:r>
              <w:rPr>
                <w:rFonts w:hint="eastAsia" w:ascii="仿宋_GB2312" w:hAnsi="宋体" w:eastAsia="仿宋_GB2312"/>
                <w:color w:val="auto"/>
                <w:sz w:val="18"/>
                <w:szCs w:val="18"/>
                <w:highlight w:val="none"/>
              </w:rPr>
              <w:t>招生管理</w:t>
            </w:r>
          </w:p>
          <w:p>
            <w:pPr>
              <w:jc w:val="both"/>
              <w:rPr>
                <w:rFonts w:hint="eastAsia" w:ascii="仿宋_GB2312" w:hAnsi="宋体" w:eastAsia="仿宋_GB2312" w:cs="宋体"/>
                <w:color w:val="auto"/>
                <w:sz w:val="18"/>
                <w:szCs w:val="18"/>
                <w:highlight w:val="none"/>
              </w:rPr>
            </w:pPr>
          </w:p>
        </w:tc>
        <w:tc>
          <w:tcPr>
            <w:tcW w:w="1125"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招生政策</w:t>
            </w:r>
          </w:p>
        </w:tc>
        <w:tc>
          <w:tcPr>
            <w:tcW w:w="2220"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镇区招生政策；招生照顾、优待政策</w:t>
            </w:r>
          </w:p>
        </w:tc>
        <w:tc>
          <w:tcPr>
            <w:tcW w:w="2230" w:type="dxa"/>
            <w:vAlign w:val="center"/>
          </w:tcPr>
          <w:p>
            <w:pPr>
              <w:keepNext w:val="0"/>
              <w:keepLines w:val="0"/>
              <w:widowControl/>
              <w:suppressLineNumbers w:val="0"/>
              <w:jc w:val="left"/>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《政府信息公开条例》、《教育部关于进一步做好小学升入初中免试就近入学工作的实施意见》、《教育部关于推进中小学信息公开工作的意见》</w:t>
            </w:r>
          </w:p>
        </w:tc>
        <w:tc>
          <w:tcPr>
            <w:tcW w:w="162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信息形成或者变更之日起20个工作日内</w:t>
            </w:r>
          </w:p>
        </w:tc>
        <w:tc>
          <w:tcPr>
            <w:tcW w:w="90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横栏镇教育部门</w:t>
            </w:r>
          </w:p>
        </w:tc>
        <w:tc>
          <w:tcPr>
            <w:tcW w:w="216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■政府网站</w:t>
            </w:r>
          </w:p>
        </w:tc>
        <w:tc>
          <w:tcPr>
            <w:tcW w:w="54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09"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551"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85" w:type="dxa"/>
            <w:vAlign w:val="center"/>
          </w:tcPr>
          <w:p>
            <w:pPr>
              <w:jc w:val="center"/>
              <w:rPr>
                <w:rFonts w:hint="eastAsia" w:ascii="仿宋_GB2312" w:hAnsi="仿宋" w:eastAsia="仿宋_GB2312"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auto"/>
                <w:sz w:val="18"/>
                <w:szCs w:val="18"/>
                <w:highlight w:val="none"/>
                <w:lang w:val="en-US" w:eastAsia="zh-CN"/>
              </w:rPr>
            </w:pPr>
            <w:r>
              <w:rPr>
                <w:rFonts w:hint="eastAsia" w:ascii="仿宋_GB2312" w:hAnsi="宋体" w:eastAsia="仿宋_GB2312" w:cs="宋体"/>
                <w:color w:val="auto"/>
                <w:sz w:val="18"/>
                <w:szCs w:val="18"/>
                <w:highlight w:val="none"/>
                <w:lang w:val="en-US" w:eastAsia="zh-CN"/>
              </w:rPr>
              <w:t>2</w:t>
            </w:r>
          </w:p>
        </w:tc>
        <w:tc>
          <w:tcPr>
            <w:tcW w:w="725" w:type="dxa"/>
            <w:vMerge w:val="continue"/>
            <w:vAlign w:val="center"/>
          </w:tcPr>
          <w:p>
            <w:pPr>
              <w:rPr>
                <w:rFonts w:hint="eastAsia" w:ascii="仿宋_GB2312" w:hAnsi="宋体" w:eastAsia="仿宋_GB2312" w:cs="宋体"/>
                <w:color w:val="auto"/>
                <w:sz w:val="18"/>
                <w:szCs w:val="18"/>
                <w:highlight w:val="none"/>
              </w:rPr>
            </w:pPr>
          </w:p>
        </w:tc>
        <w:tc>
          <w:tcPr>
            <w:tcW w:w="1125" w:type="dxa"/>
            <w:vAlign w:val="center"/>
          </w:tcPr>
          <w:p>
            <w:pPr>
              <w:keepNext w:val="0"/>
              <w:keepLines w:val="0"/>
              <w:widowControl/>
              <w:suppressLineNumbers w:val="0"/>
              <w:jc w:val="both"/>
              <w:textAlignment w:val="center"/>
              <w:rPr>
                <w:rFonts w:hint="eastAsia" w:ascii="仿宋_GB2312" w:hAnsi="宋体" w:eastAsia="仿宋_GB2312"/>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各民办学校招生简章</w:t>
            </w:r>
          </w:p>
        </w:tc>
        <w:tc>
          <w:tcPr>
            <w:tcW w:w="2220"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年度各民办学校招生方案，包括基本办学情况介绍、办学地址、收费情况、招生计划、招生范围、联系方式等</w:t>
            </w:r>
          </w:p>
        </w:tc>
        <w:tc>
          <w:tcPr>
            <w:tcW w:w="2230" w:type="dxa"/>
            <w:vAlign w:val="center"/>
          </w:tcPr>
          <w:p>
            <w:pPr>
              <w:keepNext w:val="0"/>
              <w:keepLines w:val="0"/>
              <w:widowControl/>
              <w:suppressLineNumbers w:val="0"/>
              <w:jc w:val="left"/>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《政府信息公开条例》、《教育部关于进一步做好小学升入初中免试就近入学工作的实施意见》、《教育部关于推进中小学信息公开工作的意见》</w:t>
            </w:r>
          </w:p>
        </w:tc>
        <w:tc>
          <w:tcPr>
            <w:tcW w:w="162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信息形成或者变更之日起20个工作日内</w:t>
            </w:r>
          </w:p>
        </w:tc>
        <w:tc>
          <w:tcPr>
            <w:tcW w:w="90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横栏镇教育部门</w:t>
            </w:r>
          </w:p>
        </w:tc>
        <w:tc>
          <w:tcPr>
            <w:tcW w:w="2160" w:type="dxa"/>
            <w:vAlign w:val="center"/>
          </w:tcPr>
          <w:p>
            <w:pPr>
              <w:keepNext w:val="0"/>
              <w:keepLines w:val="0"/>
              <w:widowControl/>
              <w:suppressLineNumbers w:val="0"/>
              <w:jc w:val="left"/>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 xml:space="preserve">■政府网站  </w:t>
            </w:r>
          </w:p>
        </w:tc>
        <w:tc>
          <w:tcPr>
            <w:tcW w:w="54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09"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551"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85" w:type="dxa"/>
            <w:vAlign w:val="center"/>
          </w:tcPr>
          <w:p>
            <w:pPr>
              <w:jc w:val="center"/>
              <w:rPr>
                <w:rFonts w:hint="eastAsia"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auto"/>
                <w:sz w:val="18"/>
                <w:szCs w:val="18"/>
                <w:highlight w:val="none"/>
                <w:lang w:val="en-US" w:eastAsia="zh-CN"/>
              </w:rPr>
            </w:pPr>
            <w:r>
              <w:rPr>
                <w:rFonts w:hint="eastAsia" w:ascii="仿宋_GB2312" w:hAnsi="宋体" w:eastAsia="仿宋_GB2312" w:cs="宋体"/>
                <w:color w:val="auto"/>
                <w:sz w:val="18"/>
                <w:szCs w:val="18"/>
                <w:highlight w:val="none"/>
                <w:lang w:val="en-US" w:eastAsia="zh-CN"/>
              </w:rPr>
              <w:t>3</w:t>
            </w:r>
          </w:p>
        </w:tc>
        <w:tc>
          <w:tcPr>
            <w:tcW w:w="725" w:type="dxa"/>
            <w:vMerge w:val="continue"/>
            <w:vAlign w:val="center"/>
          </w:tcPr>
          <w:p>
            <w:pPr>
              <w:jc w:val="center"/>
              <w:rPr>
                <w:rFonts w:hint="eastAsia" w:ascii="仿宋_GB2312" w:hAnsi="宋体" w:eastAsia="仿宋_GB2312" w:cs="宋体"/>
                <w:color w:val="auto"/>
                <w:sz w:val="18"/>
                <w:szCs w:val="18"/>
                <w:highlight w:val="none"/>
              </w:rPr>
            </w:pPr>
          </w:p>
        </w:tc>
        <w:tc>
          <w:tcPr>
            <w:tcW w:w="1125" w:type="dxa"/>
            <w:vAlign w:val="center"/>
          </w:tcPr>
          <w:p>
            <w:pPr>
              <w:keepNext w:val="0"/>
              <w:keepLines w:val="0"/>
              <w:widowControl/>
              <w:suppressLineNumbers w:val="0"/>
              <w:jc w:val="both"/>
              <w:textAlignment w:val="center"/>
              <w:rPr>
                <w:rFonts w:hint="eastAsia" w:ascii="仿宋_GB2312" w:hAnsi="宋体" w:eastAsia="仿宋_GB2312"/>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积分入学</w:t>
            </w:r>
          </w:p>
        </w:tc>
        <w:tc>
          <w:tcPr>
            <w:tcW w:w="2220"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积分入学相关政策、办理条件、办理方式、计分标准和证明材料、入围结果名单</w:t>
            </w:r>
          </w:p>
        </w:tc>
        <w:tc>
          <w:tcPr>
            <w:tcW w:w="2230" w:type="dxa"/>
            <w:vAlign w:val="center"/>
          </w:tcPr>
          <w:p>
            <w:pPr>
              <w:keepNext w:val="0"/>
              <w:keepLines w:val="0"/>
              <w:widowControl/>
              <w:suppressLineNumbers w:val="0"/>
              <w:jc w:val="left"/>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《政府信息公开条例》、《教育部关于进一步做好小学升入初中免试就近入学工作的实施意见》、《教育部关于推进中小学信息公开工作的意见》</w:t>
            </w:r>
          </w:p>
        </w:tc>
        <w:tc>
          <w:tcPr>
            <w:tcW w:w="162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信息形成或者变更之日起20个工作日内</w:t>
            </w:r>
          </w:p>
        </w:tc>
        <w:tc>
          <w:tcPr>
            <w:tcW w:w="90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横栏镇教育部门</w:t>
            </w:r>
          </w:p>
        </w:tc>
        <w:tc>
          <w:tcPr>
            <w:tcW w:w="2160" w:type="dxa"/>
            <w:vAlign w:val="center"/>
          </w:tcPr>
          <w:p>
            <w:pPr>
              <w:keepNext w:val="0"/>
              <w:keepLines w:val="0"/>
              <w:widowControl/>
              <w:suppressLineNumbers w:val="0"/>
              <w:jc w:val="left"/>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■政府网站</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■微信公众号</w:t>
            </w:r>
          </w:p>
        </w:tc>
        <w:tc>
          <w:tcPr>
            <w:tcW w:w="54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09"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551"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85" w:type="dxa"/>
            <w:vAlign w:val="center"/>
          </w:tcPr>
          <w:p>
            <w:pPr>
              <w:jc w:val="center"/>
              <w:rPr>
                <w:rFonts w:hint="eastAsia" w:ascii="仿宋_GB2312" w:hAnsi="Times New Roman" w:eastAsia="仿宋_GB2312"/>
                <w:color w:val="auto"/>
                <w:sz w:val="18"/>
                <w:szCs w:val="18"/>
                <w:highlight w:val="none"/>
              </w:rPr>
            </w:pPr>
            <w:r>
              <w:rPr>
                <w:rFonts w:hint="eastAsia" w:ascii="仿宋_GB2312" w:hAnsi="Times New Roman"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s="宋体"/>
                <w:color w:val="auto"/>
                <w:sz w:val="18"/>
                <w:szCs w:val="18"/>
                <w:highlight w:val="none"/>
                <w:lang w:val="en-US" w:eastAsia="zh-CN"/>
              </w:rPr>
              <w:t>4</w:t>
            </w:r>
          </w:p>
        </w:tc>
        <w:tc>
          <w:tcPr>
            <w:tcW w:w="725" w:type="dxa"/>
            <w:vAlign w:val="center"/>
          </w:tcPr>
          <w:p>
            <w:pPr>
              <w:keepNext w:val="0"/>
              <w:keepLines w:val="0"/>
              <w:widowControl/>
              <w:suppressLineNumbers w:val="0"/>
              <w:jc w:val="center"/>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学生管理</w:t>
            </w:r>
          </w:p>
        </w:tc>
        <w:tc>
          <w:tcPr>
            <w:tcW w:w="1125"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优待政策</w:t>
            </w:r>
          </w:p>
        </w:tc>
        <w:tc>
          <w:tcPr>
            <w:tcW w:w="2220"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军人子女、烈士子女参加高中招生的优待政策、办理流程和提交材料；公安民警子女参加高中招生的优待政策、办理流程；消防救援队伍人员子女参加高中招生的优待政策、办理流程；因公殉职基层干部子女参加高中招生的优待政策、办理流程和提交材料；复退军人子女参加高中招生的优待政策、办理流程和提交材料；中山市紧缺适用人才子女参加高中招生的优待政策、办理流程、提交材料；海外华人华侨的适龄子女、华侨学生参加高中招生的优待政策、办理流程、提交材料；台胞的适龄子女参加高中招生的优待政策、办理流程、提交材料</w:t>
            </w:r>
          </w:p>
        </w:tc>
        <w:tc>
          <w:tcPr>
            <w:tcW w:w="2230"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信息公开条例》、《军人子女教育优待办法》、《国务院办公厅关于严格执行党和国家民族政策有关问题的通知》、《归侨侨眷权益保护法》、《教育部、国务院台湾事务办公室关于进一步做好台湾同胞子女在大陆中小学和幼儿园就读工作的若干意见》等</w:t>
            </w:r>
          </w:p>
        </w:tc>
        <w:tc>
          <w:tcPr>
            <w:tcW w:w="162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信息形成或者变更之日起20个工作日内</w:t>
            </w:r>
          </w:p>
        </w:tc>
        <w:tc>
          <w:tcPr>
            <w:tcW w:w="90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横栏镇教育部门</w:t>
            </w:r>
          </w:p>
        </w:tc>
        <w:tc>
          <w:tcPr>
            <w:tcW w:w="2160" w:type="dxa"/>
            <w:vAlign w:val="center"/>
          </w:tcPr>
          <w:p>
            <w:pPr>
              <w:keepNext w:val="0"/>
              <w:keepLines w:val="0"/>
              <w:widowControl/>
              <w:suppressLineNumbers w:val="0"/>
              <w:jc w:val="left"/>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 xml:space="preserve">■政府网站 </w:t>
            </w:r>
          </w:p>
        </w:tc>
        <w:tc>
          <w:tcPr>
            <w:tcW w:w="54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p>
            <w:pPr>
              <w:jc w:val="center"/>
              <w:rPr>
                <w:rFonts w:hint="eastAsia" w:ascii="仿宋_GB2312" w:hAnsi="仿宋" w:eastAsia="仿宋_GB2312" w:cs="宋体"/>
                <w:color w:val="auto"/>
                <w:sz w:val="18"/>
                <w:szCs w:val="18"/>
                <w:highlight w:val="none"/>
              </w:rPr>
            </w:pPr>
          </w:p>
        </w:tc>
        <w:tc>
          <w:tcPr>
            <w:tcW w:w="709" w:type="dxa"/>
            <w:vAlign w:val="center"/>
          </w:tcPr>
          <w:p>
            <w:pPr>
              <w:jc w:val="center"/>
              <w:rPr>
                <w:rFonts w:hint="eastAsia" w:ascii="仿宋_GB2312" w:hAnsi="仿宋" w:eastAsia="仿宋_GB2312"/>
                <w:color w:val="auto"/>
                <w:sz w:val="18"/>
                <w:szCs w:val="18"/>
                <w:highlight w:val="none"/>
                <w:lang w:eastAsia="zh-CN"/>
              </w:rPr>
            </w:pPr>
            <w:r>
              <w:rPr>
                <w:rFonts w:hint="eastAsia" w:ascii="仿宋_GB2312" w:hAnsi="仿宋" w:eastAsia="仿宋_GB2312"/>
                <w:color w:val="auto"/>
                <w:sz w:val="18"/>
                <w:szCs w:val="18"/>
                <w:highlight w:val="none"/>
              </w:rPr>
              <w:t>　</w:t>
            </w:r>
          </w:p>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551" w:type="dxa"/>
            <w:vAlign w:val="center"/>
          </w:tcPr>
          <w:p>
            <w:pPr>
              <w:jc w:val="center"/>
              <w:rPr>
                <w:rFonts w:hint="eastAsia" w:ascii="仿宋_GB2312" w:hAnsi="仿宋" w:eastAsia="仿宋_GB2312"/>
                <w:color w:val="auto"/>
                <w:sz w:val="18"/>
                <w:szCs w:val="18"/>
                <w:highlight w:val="none"/>
              </w:rPr>
            </w:pPr>
            <w:r>
              <w:rPr>
                <w:rFonts w:hint="eastAsia" w:ascii="仿宋_GB2312" w:hAnsi="仿宋" w:eastAsia="仿宋_GB2312"/>
                <w:color w:val="auto"/>
                <w:sz w:val="18"/>
                <w:szCs w:val="18"/>
                <w:highlight w:val="none"/>
              </w:rPr>
              <w:t>√</w:t>
            </w:r>
          </w:p>
          <w:p>
            <w:pPr>
              <w:jc w:val="center"/>
              <w:rPr>
                <w:rFonts w:hint="eastAsia" w:ascii="仿宋_GB2312" w:hAnsi="仿宋" w:eastAsia="仿宋_GB2312" w:cs="宋体"/>
                <w:color w:val="auto"/>
                <w:sz w:val="18"/>
                <w:szCs w:val="18"/>
                <w:highlight w:val="none"/>
              </w:rPr>
            </w:pPr>
          </w:p>
        </w:tc>
        <w:tc>
          <w:tcPr>
            <w:tcW w:w="720" w:type="dxa"/>
            <w:vAlign w:val="center"/>
          </w:tcPr>
          <w:p>
            <w:pPr>
              <w:jc w:val="center"/>
              <w:rPr>
                <w:rFonts w:hint="eastAsia" w:ascii="仿宋_GB2312" w:hAnsi="仿宋" w:eastAsia="仿宋_GB2312"/>
                <w:color w:val="auto"/>
                <w:sz w:val="18"/>
                <w:szCs w:val="18"/>
                <w:highlight w:val="none"/>
              </w:rPr>
            </w:pPr>
            <w:r>
              <w:rPr>
                <w:rFonts w:hint="eastAsia" w:ascii="仿宋_GB2312" w:hAnsi="仿宋" w:eastAsia="仿宋_GB2312"/>
                <w:color w:val="auto"/>
                <w:sz w:val="18"/>
                <w:szCs w:val="18"/>
                <w:highlight w:val="none"/>
              </w:rPr>
              <w:t>　</w:t>
            </w:r>
          </w:p>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720" w:type="dxa"/>
            <w:vAlign w:val="center"/>
          </w:tcPr>
          <w:p>
            <w:pPr>
              <w:jc w:val="center"/>
              <w:rPr>
                <w:rFonts w:hint="eastAsia" w:ascii="仿宋_GB2312" w:hAnsi="仿宋" w:eastAsia="仿宋_GB2312"/>
                <w:color w:val="auto"/>
                <w:sz w:val="18"/>
                <w:szCs w:val="18"/>
                <w:highlight w:val="none"/>
              </w:rPr>
            </w:pPr>
            <w:r>
              <w:rPr>
                <w:rFonts w:hint="eastAsia" w:ascii="仿宋_GB2312" w:hAnsi="仿宋" w:eastAsia="仿宋_GB2312"/>
                <w:color w:val="auto"/>
                <w:sz w:val="18"/>
                <w:szCs w:val="18"/>
                <w:highlight w:val="none"/>
              </w:rPr>
              <w:t>√</w:t>
            </w:r>
          </w:p>
          <w:p>
            <w:pPr>
              <w:jc w:val="center"/>
              <w:rPr>
                <w:rFonts w:hint="eastAsia" w:ascii="仿宋_GB2312" w:hAnsi="仿宋" w:eastAsia="仿宋_GB2312" w:cs="宋体"/>
                <w:color w:val="auto"/>
                <w:sz w:val="18"/>
                <w:szCs w:val="18"/>
                <w:highlight w:val="none"/>
              </w:rPr>
            </w:pPr>
          </w:p>
        </w:tc>
        <w:tc>
          <w:tcPr>
            <w:tcW w:w="785" w:type="dxa"/>
            <w:vAlign w:val="center"/>
          </w:tcPr>
          <w:p>
            <w:pPr>
              <w:jc w:val="center"/>
              <w:rPr>
                <w:rFonts w:hint="eastAsia" w:ascii="仿宋_GB2312" w:eastAsia="仿宋_GB2312"/>
                <w:color w:val="auto"/>
                <w:sz w:val="18"/>
                <w:szCs w:val="18"/>
                <w:highlight w:val="none"/>
              </w:rPr>
            </w:pPr>
            <w:r>
              <w:rPr>
                <w:rFonts w:hint="eastAsia" w:ascii="仿宋_GB2312" w:eastAsia="仿宋_GB2312"/>
                <w:color w:val="auto"/>
                <w:sz w:val="18"/>
                <w:szCs w:val="18"/>
                <w:highlight w:val="none"/>
              </w:rPr>
              <w:t>　</w:t>
            </w:r>
          </w:p>
          <w:p>
            <w:pPr>
              <w:jc w:val="center"/>
              <w:rPr>
                <w:rFonts w:hint="eastAsia"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p>
            <w:pPr>
              <w:jc w:val="center"/>
              <w:rPr>
                <w:rFonts w:hint="eastAsia"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auto"/>
                <w:sz w:val="18"/>
                <w:szCs w:val="18"/>
                <w:highlight w:val="none"/>
                <w:lang w:eastAsia="zh-CN"/>
              </w:rPr>
            </w:pPr>
            <w:r>
              <w:rPr>
                <w:rFonts w:hint="eastAsia" w:ascii="仿宋_GB2312" w:hAnsi="宋体" w:eastAsia="仿宋_GB2312"/>
                <w:color w:val="auto"/>
                <w:sz w:val="18"/>
                <w:szCs w:val="18"/>
                <w:highlight w:val="none"/>
                <w:lang w:val="en-US" w:eastAsia="zh-CN"/>
              </w:rPr>
              <w:t>5</w:t>
            </w:r>
          </w:p>
        </w:tc>
        <w:tc>
          <w:tcPr>
            <w:tcW w:w="725" w:type="dxa"/>
            <w:vMerge w:val="restart"/>
            <w:vAlign w:val="center"/>
          </w:tcPr>
          <w:p>
            <w:pPr>
              <w:keepNext w:val="0"/>
              <w:keepLines w:val="0"/>
              <w:widowControl/>
              <w:suppressLineNumbers w:val="0"/>
              <w:jc w:val="center"/>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教师管理</w:t>
            </w:r>
          </w:p>
        </w:tc>
        <w:tc>
          <w:tcPr>
            <w:tcW w:w="1125"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教师公开招聘</w:t>
            </w:r>
          </w:p>
        </w:tc>
        <w:tc>
          <w:tcPr>
            <w:tcW w:w="2220"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教体系统事业单位统一公开招聘公告、笔试成绩、入围面试人员名单及拟聘用人员名单</w:t>
            </w:r>
          </w:p>
        </w:tc>
        <w:tc>
          <w:tcPr>
            <w:tcW w:w="2230"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《政府信息公开条例》、《事业单位公开招聘人员暂行规定》、《关于进一步规范事业单位公开招聘工作的通知》、《人力资源社会保障部关于事业单位公开招聘岗位条件设置有关问题的通知》</w:t>
            </w:r>
          </w:p>
        </w:tc>
        <w:tc>
          <w:tcPr>
            <w:tcW w:w="162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信息形成或者变更之日起20个工作日内</w:t>
            </w:r>
          </w:p>
        </w:tc>
        <w:tc>
          <w:tcPr>
            <w:tcW w:w="90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横栏镇教育部门</w:t>
            </w:r>
          </w:p>
        </w:tc>
        <w:tc>
          <w:tcPr>
            <w:tcW w:w="2160" w:type="dxa"/>
            <w:vAlign w:val="center"/>
          </w:tcPr>
          <w:p>
            <w:pPr>
              <w:keepNext w:val="0"/>
              <w:keepLines w:val="0"/>
              <w:widowControl/>
              <w:suppressLineNumbers w:val="0"/>
              <w:jc w:val="left"/>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■政府网站</w:t>
            </w:r>
            <w:r>
              <w:rPr>
                <w:rFonts w:hint="eastAsia" w:ascii="仿宋_GB2312" w:hAnsi="宋体" w:eastAsia="仿宋_GB2312" w:cs="仿宋_GB2312"/>
                <w:i w:val="0"/>
                <w:color w:val="000000"/>
                <w:kern w:val="0"/>
                <w:sz w:val="18"/>
                <w:szCs w:val="18"/>
                <w:u w:val="none"/>
                <w:lang w:val="en-US" w:eastAsia="zh-CN" w:bidi="ar"/>
              </w:rPr>
              <w:br w:type="textWrapping"/>
            </w:r>
            <w:r>
              <w:rPr>
                <w:rFonts w:hint="eastAsia" w:ascii="仿宋_GB2312" w:hAnsi="宋体" w:eastAsia="仿宋_GB2312" w:cs="仿宋_GB2312"/>
                <w:i w:val="0"/>
                <w:color w:val="000000"/>
                <w:kern w:val="0"/>
                <w:sz w:val="18"/>
                <w:szCs w:val="18"/>
                <w:u w:val="none"/>
                <w:lang w:val="en-US" w:eastAsia="zh-CN" w:bidi="ar"/>
              </w:rPr>
              <w:t>■微信公众号</w:t>
            </w:r>
          </w:p>
        </w:tc>
        <w:tc>
          <w:tcPr>
            <w:tcW w:w="54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09"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551"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85" w:type="dxa"/>
            <w:vAlign w:val="center"/>
          </w:tcPr>
          <w:p>
            <w:pPr>
              <w:jc w:val="center"/>
              <w:rPr>
                <w:rFonts w:hint="eastAsia"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auto"/>
                <w:sz w:val="18"/>
                <w:szCs w:val="18"/>
                <w:highlight w:val="none"/>
                <w:lang w:val="en-US" w:eastAsia="zh-CN"/>
              </w:rPr>
            </w:pPr>
            <w:r>
              <w:rPr>
                <w:rFonts w:hint="eastAsia" w:ascii="仿宋_GB2312" w:hAnsi="宋体" w:eastAsia="仿宋_GB2312" w:cs="宋体"/>
                <w:color w:val="auto"/>
                <w:sz w:val="18"/>
                <w:szCs w:val="18"/>
                <w:highlight w:val="none"/>
                <w:lang w:val="en-US" w:eastAsia="zh-CN"/>
              </w:rPr>
              <w:t>6</w:t>
            </w:r>
          </w:p>
        </w:tc>
        <w:tc>
          <w:tcPr>
            <w:tcW w:w="725" w:type="dxa"/>
            <w:vMerge w:val="continue"/>
            <w:vAlign w:val="center"/>
          </w:tcPr>
          <w:p>
            <w:pPr>
              <w:jc w:val="center"/>
              <w:rPr>
                <w:rFonts w:hint="eastAsia" w:ascii="仿宋_GB2312" w:hAnsi="宋体" w:eastAsia="仿宋_GB2312" w:cs="宋体"/>
                <w:color w:val="auto"/>
                <w:sz w:val="18"/>
                <w:szCs w:val="18"/>
                <w:highlight w:val="none"/>
              </w:rPr>
            </w:pPr>
          </w:p>
        </w:tc>
        <w:tc>
          <w:tcPr>
            <w:tcW w:w="1125" w:type="dxa"/>
            <w:vAlign w:val="center"/>
          </w:tcPr>
          <w:p>
            <w:pPr>
              <w:keepNext w:val="0"/>
              <w:keepLines w:val="0"/>
              <w:widowControl/>
              <w:suppressLineNumbers w:val="0"/>
              <w:jc w:val="center"/>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教师职称评审</w:t>
            </w:r>
          </w:p>
        </w:tc>
        <w:tc>
          <w:tcPr>
            <w:tcW w:w="2220"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评审政策、评审通知、学校拟推荐人选名单、评审结果、最终结果</w:t>
            </w:r>
          </w:p>
        </w:tc>
        <w:tc>
          <w:tcPr>
            <w:tcW w:w="2230"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《政府信息公开条例》、《人力资源社会保障部教育部关于印发深化中小学教师职称制度改革的指导意见的通知》</w:t>
            </w:r>
          </w:p>
        </w:tc>
        <w:tc>
          <w:tcPr>
            <w:tcW w:w="162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信息形成（变更）3个工作日内，公示时间不少于7个工作日</w:t>
            </w:r>
          </w:p>
        </w:tc>
        <w:tc>
          <w:tcPr>
            <w:tcW w:w="90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横栏镇教育部门</w:t>
            </w:r>
          </w:p>
        </w:tc>
        <w:tc>
          <w:tcPr>
            <w:tcW w:w="216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■政府网站</w:t>
            </w:r>
          </w:p>
        </w:tc>
        <w:tc>
          <w:tcPr>
            <w:tcW w:w="540" w:type="dxa"/>
            <w:vAlign w:val="center"/>
          </w:tcPr>
          <w:p>
            <w:pPr>
              <w:jc w:val="center"/>
              <w:rPr>
                <w:rFonts w:hint="eastAsia" w:ascii="仿宋_GB2312" w:hAnsi="仿宋" w:eastAsia="仿宋_GB2312" w:cs="宋体"/>
                <w:color w:val="auto"/>
                <w:sz w:val="18"/>
                <w:szCs w:val="18"/>
                <w:highlight w:val="none"/>
              </w:rPr>
            </w:pPr>
          </w:p>
        </w:tc>
        <w:tc>
          <w:tcPr>
            <w:tcW w:w="709"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教师　</w:t>
            </w:r>
          </w:p>
        </w:tc>
        <w:tc>
          <w:tcPr>
            <w:tcW w:w="551"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85" w:type="dxa"/>
            <w:vAlign w:val="center"/>
          </w:tcPr>
          <w:p>
            <w:pPr>
              <w:jc w:val="center"/>
              <w:rPr>
                <w:rFonts w:hint="eastAsia" w:ascii="仿宋_GB2312" w:hAnsi="宋体" w:eastAsia="仿宋_GB2312" w:cs="宋体"/>
                <w:color w:val="auto"/>
                <w:sz w:val="18"/>
                <w:szCs w:val="18"/>
                <w:highlight w:val="none"/>
              </w:rPr>
            </w:pPr>
            <w:r>
              <w:rPr>
                <w:rFonts w:hint="eastAsia" w:ascii="仿宋_GB2312" w:eastAsia="仿宋_GB2312"/>
                <w:color w:val="auto"/>
                <w:sz w:val="18"/>
                <w:szCs w:val="18"/>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jc w:val="center"/>
              <w:rPr>
                <w:rFonts w:hint="eastAsia" w:ascii="仿宋_GB2312" w:hAnsi="宋体" w:eastAsia="仿宋_GB2312" w:cs="宋体"/>
                <w:color w:val="auto"/>
                <w:sz w:val="18"/>
                <w:szCs w:val="18"/>
                <w:highlight w:val="none"/>
                <w:lang w:val="en-US" w:eastAsia="zh-CN"/>
              </w:rPr>
            </w:pPr>
            <w:r>
              <w:rPr>
                <w:rFonts w:hint="eastAsia" w:ascii="仿宋_GB2312" w:hAnsi="宋体" w:eastAsia="仿宋_GB2312" w:cs="宋体"/>
                <w:color w:val="auto"/>
                <w:sz w:val="18"/>
                <w:szCs w:val="18"/>
                <w:highlight w:val="none"/>
                <w:lang w:val="en-US" w:eastAsia="zh-CN"/>
              </w:rPr>
              <w:t>7</w:t>
            </w:r>
          </w:p>
        </w:tc>
        <w:tc>
          <w:tcPr>
            <w:tcW w:w="725" w:type="dxa"/>
            <w:vAlign w:val="center"/>
          </w:tcPr>
          <w:p>
            <w:pPr>
              <w:keepNext w:val="0"/>
              <w:keepLines w:val="0"/>
              <w:widowControl/>
              <w:suppressLineNumbers w:val="0"/>
              <w:jc w:val="center"/>
              <w:textAlignment w:val="center"/>
              <w:rPr>
                <w:rFonts w:hint="eastAsia" w:ascii="仿宋_GB2312" w:hAnsi="宋体" w:eastAsia="仿宋_GB2312"/>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政策文件</w:t>
            </w:r>
          </w:p>
        </w:tc>
        <w:tc>
          <w:tcPr>
            <w:tcW w:w="1125"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中山市教育政策文件</w:t>
            </w:r>
          </w:p>
        </w:tc>
        <w:tc>
          <w:tcPr>
            <w:tcW w:w="2220"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市教育政策文件</w:t>
            </w:r>
          </w:p>
        </w:tc>
        <w:tc>
          <w:tcPr>
            <w:tcW w:w="2230" w:type="dxa"/>
            <w:vAlign w:val="center"/>
          </w:tcPr>
          <w:p>
            <w:pPr>
              <w:keepNext w:val="0"/>
              <w:keepLines w:val="0"/>
              <w:widowControl/>
              <w:suppressLineNumbers w:val="0"/>
              <w:jc w:val="both"/>
              <w:textAlignment w:val="center"/>
              <w:rPr>
                <w:rFonts w:hint="eastAsia" w:ascii="仿宋_GB2312" w:hAnsi="宋体"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《政府信息公开条例》</w:t>
            </w:r>
          </w:p>
        </w:tc>
        <w:tc>
          <w:tcPr>
            <w:tcW w:w="162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信息形成或者变更之日起20个工作日内</w:t>
            </w:r>
          </w:p>
        </w:tc>
        <w:tc>
          <w:tcPr>
            <w:tcW w:w="900" w:type="dxa"/>
            <w:vAlign w:val="center"/>
          </w:tcPr>
          <w:p>
            <w:pPr>
              <w:keepNext w:val="0"/>
              <w:keepLines w:val="0"/>
              <w:widowControl/>
              <w:suppressLineNumbers w:val="0"/>
              <w:jc w:val="both"/>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县（市、区）教育部门</w:t>
            </w:r>
          </w:p>
        </w:tc>
        <w:tc>
          <w:tcPr>
            <w:tcW w:w="2160" w:type="dxa"/>
            <w:vAlign w:val="center"/>
          </w:tcPr>
          <w:p>
            <w:pPr>
              <w:keepNext w:val="0"/>
              <w:keepLines w:val="0"/>
              <w:widowControl/>
              <w:suppressLineNumbers w:val="0"/>
              <w:jc w:val="left"/>
              <w:textAlignment w:val="center"/>
              <w:rPr>
                <w:rFonts w:hint="eastAsia" w:ascii="仿宋_GB2312" w:hAnsi="仿宋" w:eastAsia="仿宋_GB2312" w:cs="宋体"/>
                <w:color w:val="auto"/>
                <w:sz w:val="18"/>
                <w:szCs w:val="18"/>
                <w:highlight w:val="none"/>
              </w:rPr>
            </w:pPr>
            <w:r>
              <w:rPr>
                <w:rFonts w:hint="eastAsia" w:ascii="仿宋_GB2312" w:hAnsi="宋体" w:eastAsia="仿宋_GB2312" w:cs="仿宋_GB2312"/>
                <w:i w:val="0"/>
                <w:color w:val="000000"/>
                <w:kern w:val="0"/>
                <w:sz w:val="18"/>
                <w:szCs w:val="18"/>
                <w:u w:val="none"/>
                <w:lang w:val="en-US" w:eastAsia="zh-CN" w:bidi="ar"/>
              </w:rPr>
              <w:t>■政府网站</w:t>
            </w:r>
          </w:p>
        </w:tc>
        <w:tc>
          <w:tcPr>
            <w:tcW w:w="54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09" w:type="dxa"/>
            <w:vAlign w:val="center"/>
          </w:tcPr>
          <w:p>
            <w:pP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551"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c>
          <w:tcPr>
            <w:tcW w:w="720"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w:t>
            </w:r>
          </w:p>
        </w:tc>
        <w:tc>
          <w:tcPr>
            <w:tcW w:w="785" w:type="dxa"/>
            <w:vAlign w:val="center"/>
          </w:tcPr>
          <w:p>
            <w:pPr>
              <w:jc w:val="center"/>
              <w:rPr>
                <w:rFonts w:hint="eastAsia" w:ascii="仿宋_GB2312" w:hAnsi="仿宋" w:eastAsia="仿宋_GB2312" w:cs="宋体"/>
                <w:color w:val="auto"/>
                <w:sz w:val="18"/>
                <w:szCs w:val="18"/>
                <w:highlight w:val="none"/>
              </w:rPr>
            </w:pPr>
            <w:r>
              <w:rPr>
                <w:rFonts w:hint="eastAsia" w:ascii="仿宋_GB2312" w:hAnsi="仿宋" w:eastAsia="仿宋_GB2312"/>
                <w:color w:val="auto"/>
                <w:sz w:val="18"/>
                <w:szCs w:val="18"/>
                <w:highlight w:val="none"/>
              </w:rPr>
              <w:t>　</w:t>
            </w:r>
          </w:p>
        </w:tc>
      </w:tr>
    </w:tbl>
    <w:p>
      <w:pPr>
        <w:jc w:val="cente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公文小标宋简">
    <w:altName w:val="宋体"/>
    <w:panose1 w:val="0201060901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931032"/>
    <w:rsid w:val="28705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2020-12-01T05:31:19Z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