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b/>
          <w:bCs/>
          <w:sz w:val="44"/>
          <w:szCs w:val="44"/>
        </w:rPr>
      </w:pPr>
      <w:r>
        <w:rPr>
          <w:rFonts w:hint="eastAsia"/>
          <w:b/>
          <w:bCs/>
          <w:sz w:val="44"/>
          <w:szCs w:val="44"/>
        </w:rPr>
        <w:t>工业资源综合利用先进适用工艺技术设备推荐汇总表</w:t>
      </w:r>
    </w:p>
    <w:p>
      <w:pPr>
        <w:rPr>
          <w:rFonts w:hint="eastAsia"/>
        </w:rPr>
      </w:pPr>
    </w:p>
    <w:p>
      <w:pPr>
        <w:rPr>
          <w:rFonts w:hint="eastAsia" w:ascii="宋体" w:hAnsi="宋体" w:eastAsia="宋体" w:cs="宋体"/>
          <w:sz w:val="30"/>
          <w:szCs w:val="30"/>
        </w:rPr>
      </w:pPr>
      <w:r>
        <w:rPr>
          <w:rFonts w:hint="eastAsia" w:ascii="宋体" w:hAnsi="宋体" w:eastAsia="宋体" w:cs="宋体"/>
          <w:sz w:val="30"/>
          <w:szCs w:val="30"/>
        </w:rPr>
        <w:t xml:space="preserve">推荐单位（盖章）：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联系人：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联系电话：</w:t>
      </w:r>
    </w:p>
    <w:tbl>
      <w:tblPr>
        <w:tblStyle w:val="3"/>
        <w:tblW w:w="14640"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055"/>
        <w:gridCol w:w="2025"/>
        <w:gridCol w:w="1335"/>
        <w:gridCol w:w="3090"/>
        <w:gridCol w:w="393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50" w:type="dxa"/>
            <w:vAlign w:val="center"/>
          </w:tcPr>
          <w:p>
            <w:pPr>
              <w:jc w:val="center"/>
              <w:rPr>
                <w:rFonts w:hint="eastAsia"/>
                <w:b/>
                <w:bCs/>
                <w:vertAlign w:val="baseline"/>
              </w:rPr>
            </w:pPr>
            <w:r>
              <w:rPr>
                <w:rFonts w:hint="eastAsia"/>
                <w:b/>
                <w:bCs/>
              </w:rPr>
              <w:t>序号</w:t>
            </w:r>
          </w:p>
        </w:tc>
        <w:tc>
          <w:tcPr>
            <w:tcW w:w="2055" w:type="dxa"/>
            <w:vAlign w:val="center"/>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b/>
                <w:bCs/>
              </w:rPr>
              <w:t>申报单位</w:t>
            </w:r>
          </w:p>
        </w:tc>
        <w:tc>
          <w:tcPr>
            <w:tcW w:w="2025" w:type="dxa"/>
            <w:vAlign w:val="center"/>
          </w:tcPr>
          <w:p>
            <w:pPr>
              <w:jc w:val="center"/>
              <w:rPr>
                <w:rFonts w:hint="eastAsia"/>
                <w:b/>
                <w:bCs/>
                <w:vertAlign w:val="baseline"/>
              </w:rPr>
            </w:pPr>
            <w:r>
              <w:rPr>
                <w:rFonts w:hint="eastAsia"/>
                <w:b/>
                <w:bCs/>
              </w:rPr>
              <w:t>工艺技术设备名称</w:t>
            </w:r>
          </w:p>
        </w:tc>
        <w:tc>
          <w:tcPr>
            <w:tcW w:w="1335" w:type="dxa"/>
            <w:vAlign w:val="center"/>
          </w:tcPr>
          <w:p>
            <w:pPr>
              <w:jc w:val="center"/>
              <w:rPr>
                <w:rFonts w:hint="eastAsia"/>
                <w:b/>
                <w:bCs/>
                <w:vertAlign w:val="baseline"/>
              </w:rPr>
            </w:pPr>
            <w:r>
              <w:rPr>
                <w:rFonts w:hint="eastAsia"/>
                <w:b/>
                <w:bCs/>
              </w:rPr>
              <w:t>所属领域</w:t>
            </w:r>
          </w:p>
        </w:tc>
        <w:tc>
          <w:tcPr>
            <w:tcW w:w="3090" w:type="dxa"/>
            <w:vAlign w:val="center"/>
          </w:tcPr>
          <w:p>
            <w:pPr>
              <w:jc w:val="center"/>
              <w:rPr>
                <w:rFonts w:hint="eastAsia"/>
                <w:b/>
                <w:bCs/>
                <w:vertAlign w:val="baseline"/>
              </w:rPr>
            </w:pPr>
            <w:r>
              <w:rPr>
                <w:rFonts w:hint="eastAsia"/>
                <w:b/>
                <w:bCs/>
              </w:rPr>
              <w:t>工艺技术设备简介</w:t>
            </w:r>
          </w:p>
        </w:tc>
        <w:tc>
          <w:tcPr>
            <w:tcW w:w="3930" w:type="dxa"/>
            <w:vAlign w:val="center"/>
          </w:tcPr>
          <w:p>
            <w:pPr>
              <w:jc w:val="center"/>
              <w:rPr>
                <w:rFonts w:hint="eastAsia"/>
                <w:b/>
                <w:bCs/>
              </w:rPr>
            </w:pPr>
            <w:r>
              <w:rPr>
                <w:rFonts w:hint="eastAsia"/>
                <w:b/>
                <w:bCs/>
              </w:rPr>
              <w:t>关键技术与主要技术指标和</w:t>
            </w:r>
          </w:p>
          <w:p>
            <w:pPr>
              <w:jc w:val="center"/>
              <w:rPr>
                <w:rFonts w:hint="eastAsia"/>
                <w:b/>
                <w:bCs/>
                <w:vertAlign w:val="baseline"/>
              </w:rPr>
            </w:pPr>
            <w:r>
              <w:rPr>
                <w:rFonts w:hint="eastAsia"/>
                <w:b/>
                <w:bCs/>
              </w:rPr>
              <w:t>污染物控制指标</w:t>
            </w:r>
          </w:p>
        </w:tc>
        <w:tc>
          <w:tcPr>
            <w:tcW w:w="1455" w:type="dxa"/>
            <w:vAlign w:val="center"/>
          </w:tcPr>
          <w:p>
            <w:pPr>
              <w:jc w:val="center"/>
              <w:rPr>
                <w:rFonts w:hint="eastAsia"/>
                <w:b/>
                <w:bCs/>
              </w:rPr>
            </w:pPr>
            <w:r>
              <w:rPr>
                <w:rFonts w:hint="eastAsia"/>
                <w:b/>
                <w:bCs/>
              </w:rPr>
              <w:t>适用范围</w:t>
            </w:r>
          </w:p>
          <w:p>
            <w:pPr>
              <w:jc w:val="center"/>
              <w:rPr>
                <w:rFonts w:hint="eastAsia"/>
                <w:b/>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750" w:type="dxa"/>
            <w:vAlign w:val="center"/>
          </w:tcPr>
          <w:p>
            <w:pPr>
              <w:jc w:val="center"/>
              <w:rPr>
                <w:rFonts w:hint="eastAsia"/>
              </w:rPr>
            </w:pPr>
            <w:r>
              <w:rPr>
                <w:rFonts w:hint="eastAsia"/>
              </w:rPr>
              <w:t>示例</w:t>
            </w:r>
          </w:p>
          <w:p>
            <w:pPr>
              <w:jc w:val="center"/>
              <w:rPr>
                <w:rFonts w:hint="eastAsia"/>
                <w:vertAlign w:val="baseline"/>
              </w:rPr>
            </w:pPr>
          </w:p>
        </w:tc>
        <w:tc>
          <w:tcPr>
            <w:tcW w:w="2055" w:type="dxa"/>
            <w:vAlign w:val="center"/>
          </w:tcPr>
          <w:p>
            <w:pPr>
              <w:jc w:val="center"/>
              <w:rPr>
                <w:rFonts w:hint="eastAsia"/>
              </w:rPr>
            </w:pPr>
            <w:r>
              <w:rPr>
                <w:rFonts w:hint="eastAsia"/>
              </w:rPr>
              <w:t>某综合利</w:t>
            </w:r>
          </w:p>
          <w:p>
            <w:pPr>
              <w:jc w:val="center"/>
              <w:rPr>
                <w:rFonts w:hint="eastAsia"/>
              </w:rPr>
            </w:pPr>
            <w:r>
              <w:rPr>
                <w:rFonts w:hint="eastAsia"/>
              </w:rPr>
              <w:t>用公司</w:t>
            </w:r>
          </w:p>
          <w:p>
            <w:pPr>
              <w:jc w:val="center"/>
              <w:rPr>
                <w:rFonts w:hint="eastAsia"/>
                <w:vertAlign w:val="baseline"/>
              </w:rPr>
            </w:pPr>
          </w:p>
        </w:tc>
        <w:tc>
          <w:tcPr>
            <w:tcW w:w="2025" w:type="dxa"/>
            <w:vAlign w:val="center"/>
          </w:tcPr>
          <w:p>
            <w:pPr>
              <w:jc w:val="center"/>
              <w:rPr>
                <w:rFonts w:hint="eastAsia"/>
                <w:vertAlign w:val="baseline"/>
              </w:rPr>
            </w:pPr>
            <w:r>
              <w:rPr>
                <w:rFonts w:hint="eastAsia"/>
              </w:rPr>
              <w:t>粉煤灰提取氧化铝联产超白玻璃、分子筛、硅肥等集成技术</w:t>
            </w:r>
          </w:p>
        </w:tc>
        <w:tc>
          <w:tcPr>
            <w:tcW w:w="1335" w:type="dxa"/>
            <w:vAlign w:val="center"/>
          </w:tcPr>
          <w:p>
            <w:pPr>
              <w:jc w:val="center"/>
              <w:rPr>
                <w:rFonts w:hint="eastAsia"/>
              </w:rPr>
            </w:pPr>
            <w:r>
              <w:rPr>
                <w:rFonts w:hint="eastAsia"/>
              </w:rPr>
              <w:t>工业固废综合利用</w:t>
            </w:r>
          </w:p>
          <w:p>
            <w:pPr>
              <w:jc w:val="center"/>
              <w:rPr>
                <w:rFonts w:hint="eastAsia"/>
                <w:vertAlign w:val="baseline"/>
              </w:rPr>
            </w:pPr>
          </w:p>
        </w:tc>
        <w:tc>
          <w:tcPr>
            <w:tcW w:w="3090" w:type="dxa"/>
            <w:vAlign w:val="center"/>
          </w:tcPr>
          <w:p>
            <w:pPr>
              <w:jc w:val="left"/>
              <w:rPr>
                <w:rFonts w:hint="eastAsia"/>
              </w:rPr>
            </w:pPr>
            <w:r>
              <w:rPr>
                <w:rFonts w:hint="eastAsia"/>
              </w:rPr>
              <w:t>高铝粉煤灰经预脱硅、生料浆制备、熟料烧成、熟料溶出等工序,产出氧化铝；脱硅液经碳分、改性、纯化、配料、溶制等工序产出超白玻璃；提铝残渣用于制备高纯度沸石分子筛、硅肥等产品，各产品性能均可达到或优于行业标准要求。</w:t>
            </w:r>
          </w:p>
          <w:p>
            <w:pPr>
              <w:jc w:val="left"/>
              <w:rPr>
                <w:rFonts w:hint="eastAsia"/>
                <w:vertAlign w:val="baseline"/>
              </w:rPr>
            </w:pPr>
          </w:p>
        </w:tc>
        <w:tc>
          <w:tcPr>
            <w:tcW w:w="3930" w:type="dxa"/>
            <w:vAlign w:val="center"/>
          </w:tcPr>
          <w:p>
            <w:pPr>
              <w:jc w:val="both"/>
              <w:rPr>
                <w:rFonts w:hint="eastAsia"/>
              </w:rPr>
            </w:pPr>
            <w:r>
              <w:rPr>
                <w:rFonts w:hint="eastAsia"/>
                <w:b/>
                <w:bCs/>
              </w:rPr>
              <w:t>关键技术：</w:t>
            </w:r>
            <w:r>
              <w:rPr>
                <w:rFonts w:hint="eastAsia"/>
              </w:rPr>
              <w:t>粉煤灰预脱硅—碱石灰烧结法提取氧化铝技术；脱硅液制备超白玻璃技术；提铝残渣制备分子筛工艺技术；粉煤灰提铝残渣制备高效硅肥工艺技术。</w:t>
            </w:r>
          </w:p>
          <w:p>
            <w:pPr>
              <w:jc w:val="both"/>
              <w:rPr>
                <w:rFonts w:hint="eastAsia"/>
              </w:rPr>
            </w:pPr>
            <w:r>
              <w:rPr>
                <w:rFonts w:hint="eastAsia"/>
                <w:b/>
                <w:bCs/>
              </w:rPr>
              <w:t>主要技术指标：</w:t>
            </w:r>
            <w:r>
              <w:rPr>
                <w:rFonts w:hint="eastAsia"/>
              </w:rPr>
              <w:t>氧化钙提取率达到8%，氧化铝溶出率高达 90%；沸石分子筛产品达到《13X 分子筛》（HG/T690—2012）要求；硅肥产品的有效硅含量可达 30%左右，超过行业标准《硅肥》（NY/T 797-2004）。</w:t>
            </w:r>
          </w:p>
          <w:p>
            <w:pPr>
              <w:jc w:val="both"/>
              <w:rPr>
                <w:rFonts w:hint="eastAsia"/>
                <w:vertAlign w:val="baseline"/>
              </w:rPr>
            </w:pPr>
          </w:p>
        </w:tc>
        <w:tc>
          <w:tcPr>
            <w:tcW w:w="1455" w:type="dxa"/>
            <w:vAlign w:val="center"/>
          </w:tcPr>
          <w:p>
            <w:pPr>
              <w:jc w:val="left"/>
              <w:rPr>
                <w:rFonts w:hint="eastAsia"/>
              </w:rPr>
            </w:pPr>
            <w:r>
              <w:rPr>
                <w:rFonts w:hint="eastAsia"/>
              </w:rPr>
              <w:t>高铝粉煤灰综合利用</w:t>
            </w:r>
          </w:p>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pPr>
              <w:rPr>
                <w:rFonts w:hint="eastAsia" w:ascii="仿宋_GB2312" w:hAnsi="仿宋_GB2312" w:eastAsia="仿宋_GB2312" w:cs="仿宋_GB2312"/>
                <w:sz w:val="24"/>
                <w:szCs w:val="24"/>
                <w:vertAlign w:val="baseline"/>
              </w:rPr>
            </w:pPr>
          </w:p>
        </w:tc>
        <w:tc>
          <w:tcPr>
            <w:tcW w:w="2055" w:type="dxa"/>
          </w:tcPr>
          <w:p>
            <w:pPr>
              <w:rPr>
                <w:rFonts w:hint="eastAsia" w:ascii="仿宋_GB2312" w:hAnsi="仿宋_GB2312" w:eastAsia="仿宋_GB2312" w:cs="仿宋_GB2312"/>
                <w:sz w:val="24"/>
                <w:szCs w:val="24"/>
                <w:vertAlign w:val="baseline"/>
              </w:rPr>
            </w:pPr>
          </w:p>
        </w:tc>
        <w:tc>
          <w:tcPr>
            <w:tcW w:w="2025" w:type="dxa"/>
          </w:tcPr>
          <w:p>
            <w:pPr>
              <w:rPr>
                <w:rFonts w:hint="eastAsia" w:ascii="仿宋_GB2312" w:hAnsi="仿宋_GB2312" w:eastAsia="仿宋_GB2312" w:cs="仿宋_GB2312"/>
                <w:sz w:val="24"/>
                <w:szCs w:val="24"/>
                <w:vertAlign w:val="baseline"/>
              </w:rPr>
            </w:pPr>
          </w:p>
        </w:tc>
        <w:tc>
          <w:tcPr>
            <w:tcW w:w="1335" w:type="dxa"/>
          </w:tcPr>
          <w:p>
            <w:pPr>
              <w:rPr>
                <w:rFonts w:hint="eastAsia" w:ascii="仿宋_GB2312" w:hAnsi="仿宋_GB2312" w:eastAsia="仿宋_GB2312" w:cs="仿宋_GB2312"/>
                <w:sz w:val="24"/>
                <w:szCs w:val="24"/>
                <w:vertAlign w:val="baseline"/>
              </w:rPr>
            </w:pPr>
          </w:p>
        </w:tc>
        <w:tc>
          <w:tcPr>
            <w:tcW w:w="3090" w:type="dxa"/>
          </w:tcPr>
          <w:p>
            <w:pPr>
              <w:rPr>
                <w:rFonts w:hint="eastAsia" w:ascii="仿宋_GB2312" w:hAnsi="仿宋_GB2312" w:eastAsia="仿宋_GB2312" w:cs="仿宋_GB2312"/>
                <w:sz w:val="24"/>
                <w:szCs w:val="24"/>
                <w:vertAlign w:val="baseline"/>
              </w:rPr>
            </w:pPr>
          </w:p>
        </w:tc>
        <w:tc>
          <w:tcPr>
            <w:tcW w:w="3930" w:type="dxa"/>
          </w:tcPr>
          <w:p>
            <w:pPr>
              <w:rPr>
                <w:rFonts w:hint="eastAsia" w:ascii="仿宋_GB2312" w:hAnsi="仿宋_GB2312" w:eastAsia="仿宋_GB2312" w:cs="仿宋_GB2312"/>
                <w:sz w:val="24"/>
                <w:szCs w:val="24"/>
                <w:vertAlign w:val="baseline"/>
              </w:rPr>
            </w:pPr>
          </w:p>
        </w:tc>
        <w:tc>
          <w:tcPr>
            <w:tcW w:w="1455" w:type="dxa"/>
          </w:tcPr>
          <w:p>
            <w:pPr>
              <w:rPr>
                <w:rFonts w:hint="eastAsia" w:ascii="仿宋_GB2312" w:hAnsi="仿宋_GB2312" w:eastAsia="仿宋_GB2312" w:cs="仿宋_GB2312"/>
                <w:sz w:val="24"/>
                <w:szCs w:val="24"/>
                <w:vertAlign w:val="baseline"/>
              </w:rPr>
            </w:pPr>
          </w:p>
        </w:tc>
      </w:tr>
    </w:tbl>
    <w:p>
      <w:pPr>
        <w:rPr>
          <w:rFonts w:hint="eastAsia"/>
        </w:rPr>
      </w:pPr>
    </w:p>
    <w:p>
      <w:pPr>
        <w:rPr>
          <w:rFonts w:hint="eastAsia"/>
        </w:rPr>
      </w:pPr>
      <w:r>
        <w:rPr>
          <w:rFonts w:hint="eastAsia"/>
        </w:rPr>
        <w:t>备注：1. 申报单位是指工艺技术设备的研发或生产单位。</w:t>
      </w:r>
    </w:p>
    <w:p>
      <w:pPr>
        <w:ind w:firstLine="630" w:firstLineChars="300"/>
        <w:rPr>
          <w:rFonts w:hint="eastAsia"/>
        </w:rPr>
      </w:pPr>
      <w:r>
        <w:rPr>
          <w:rFonts w:hint="eastAsia"/>
        </w:rPr>
        <w:t>2. 所属领域包括：工业固废减量化、工业固废综合利用、再生资源回收利用和再制造等四个领域。</w:t>
      </w:r>
    </w:p>
    <w:p>
      <w:pPr>
        <w:ind w:firstLine="630" w:firstLineChars="300"/>
        <w:rPr>
          <w:rFonts w:hint="eastAsia"/>
        </w:rPr>
      </w:pPr>
      <w:r>
        <w:rPr>
          <w:rFonts w:hint="eastAsia"/>
        </w:rPr>
        <w:t>3. 关键技术与主要技术指标和污染物控制指标应说明关机技术和满足的标准及关键指标值。</w:t>
      </w:r>
    </w:p>
    <w:p>
      <w:pPr>
        <w:ind w:left="840" w:leftChars="300" w:hanging="210" w:hangingChars="100"/>
      </w:pPr>
      <w:r>
        <w:rPr>
          <w:rFonts w:hint="eastAsia"/>
        </w:rPr>
        <w:t>4. 拟推荐的工艺技术设备应符合法律、行政法规、产业政策和相关标准要求，主要指标具有先进性，经济、环境、社会效益明显，知识产权或专有技术产权明晰，有至少 1 项工业应用实例。</w:t>
      </w:r>
    </w:p>
    <w:sectPr>
      <w:pgSz w:w="16838" w:h="11906" w:orient="landscape"/>
      <w:pgMar w:top="9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43C0C"/>
    <w:rsid w:val="0B793866"/>
    <w:rsid w:val="2AE43C0C"/>
    <w:rsid w:val="38FB2BA0"/>
    <w:rsid w:val="6119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中山市工业和信息化局</Company>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2022-10-17T06:38:00Z</dcterms:created>
  <dc:creator>夏建荣</dc:creator>
  <cp:lastModifiedBy>郭凯雯</cp:lastModifiedBy>
  <cp:lastPrinted>2022-10-20T01:25:07Z</cp:lastPrinted>
  <dcterms:modified xsi:type="dcterms:W3CDTF">2022-10-20T01:25:28Z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D626ADA74548442099CA631056ED29DB</vt:lpwstr>
  </property>
</Properties>
</file>