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????" w:hAnsi="??????" w:cs="??????"/>
          <w:sz w:val="44"/>
          <w:szCs w:val="44"/>
        </w:rPr>
      </w:pPr>
      <w:r>
        <w:rPr>
          <w:rFonts w:hint="eastAsia" w:ascii="??????" w:hAnsi="??????" w:cs="宋体"/>
          <w:sz w:val="44"/>
          <w:szCs w:val="44"/>
        </w:rPr>
        <w:t>第三部分</w:t>
      </w:r>
      <w:r>
        <w:rPr>
          <w:rFonts w:ascii="??????" w:hAnsi="??????" w:cs="??????"/>
          <w:sz w:val="44"/>
          <w:szCs w:val="44"/>
        </w:rPr>
        <w:t xml:space="preserve">  </w:t>
      </w:r>
      <w:r>
        <w:rPr>
          <w:rFonts w:hint="eastAsia" w:ascii="??????" w:hAnsi="??????" w:cs="宋体"/>
          <w:sz w:val="44"/>
          <w:szCs w:val="44"/>
        </w:rPr>
        <w:t>相关</w:t>
      </w:r>
      <w:r>
        <w:rPr>
          <w:rFonts w:hint="eastAsia" w:ascii="宋体" w:hAnsi="宋体" w:cs="宋体"/>
          <w:sz w:val="44"/>
          <w:szCs w:val="44"/>
        </w:rPr>
        <w:t>说</w:t>
      </w:r>
      <w:r>
        <w:rPr>
          <w:rFonts w:hint="eastAsia" w:ascii="??????" w:hAnsi="??????" w:cs="宋体"/>
          <w:sz w:val="44"/>
          <w:szCs w:val="44"/>
        </w:rPr>
        <w:t>明</w:t>
      </w:r>
    </w:p>
    <w:p>
      <w:pPr>
        <w:jc w:val="center"/>
        <w:rPr>
          <w:rFonts w:ascii="??????" w:hAnsi="??????" w:cs="??????"/>
          <w:sz w:val="44"/>
          <w:szCs w:val="44"/>
        </w:rPr>
      </w:pPr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一般公共预算支出决算的说明</w:t>
      </w:r>
    </w:p>
    <w:p>
      <w:pPr>
        <w:pStyle w:val="7"/>
        <w:adjustRightInd w:val="0"/>
        <w:spacing w:line="480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End w:id="0"/>
      <w:r>
        <w:rPr>
          <w:rFonts w:ascii="仿宋_GB2312" w:hAnsi="仿宋_GB2312" w:eastAsia="仿宋_GB2312" w:cs="仿宋_GB2312"/>
          <w:bCs/>
          <w:sz w:val="32"/>
          <w:szCs w:val="32"/>
        </w:rPr>
        <w:t>一般公共预算支出60,394万元，完成预算90.6%，同比增加6,709万元，增幅12.5%</w:t>
      </w:r>
      <w:bookmarkStart w:id="1" w:name="PO_part2illustrate"/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1.一般公共服务支出9,026万元，完成预算97%，同比增加94万元，增幅1.1%。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2.公共安全支出6,502万元，完成预算90.5%，同比增加547万元，增幅9.2%。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3.教育支出14,156万元，完成预算85.5%，同比增加3,507万元，增幅32.9%；主要是安排竹秀园小学扩建支出。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4.科学技术支出657万元，完成预算103%，同比减少575万元，降幅46.7%；降幅较大是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去年</w:t>
      </w:r>
      <w:r>
        <w:rPr>
          <w:rFonts w:ascii="仿宋_GB2312" w:hAnsi="仿宋_GB2312" w:eastAsia="仿宋_GB2312" w:cs="仿宋_GB2312"/>
          <w:bCs/>
          <w:sz w:val="32"/>
          <w:szCs w:val="32"/>
        </w:rPr>
        <w:t>上级产业扶持支出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较大抬高基数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5.文化体育与传媒支出1,286万元，完成预算100%，同比减少203万元，降幅13.6%；主要是安排南区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街道</w:t>
      </w:r>
      <w:r>
        <w:rPr>
          <w:rFonts w:ascii="仿宋_GB2312" w:hAnsi="仿宋_GB2312" w:eastAsia="仿宋_GB2312" w:cs="仿宋_GB2312"/>
          <w:bCs/>
          <w:sz w:val="32"/>
          <w:szCs w:val="32"/>
        </w:rPr>
        <w:t>方志馆支出比去年减少。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6.社会保障和就业支出8,532万元，完成预算107.1%，同比增加1,138万元，增幅15.4%；主要是增加职业年金补缴支出。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7.医疗卫生与计划生育支出4,028万元，完成预算102.9%，同比减少1,802万元，降幅30.9%；主要是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去年</w:t>
      </w:r>
      <w:r>
        <w:rPr>
          <w:rFonts w:ascii="仿宋_GB2312" w:hAnsi="仿宋_GB2312" w:eastAsia="仿宋_GB2312" w:cs="仿宋_GB2312"/>
          <w:bCs/>
          <w:sz w:val="32"/>
          <w:szCs w:val="32"/>
        </w:rPr>
        <w:t>安排积水潭医院建设支出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抬高基数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8.节能环保支出2,044万元，完成预算76.4%，同比增加1,017万元，增幅98.9%；主要是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增加</w:t>
      </w:r>
      <w:r>
        <w:rPr>
          <w:rFonts w:ascii="仿宋_GB2312" w:hAnsi="仿宋_GB2312" w:eastAsia="仿宋_GB2312" w:cs="仿宋_GB2312"/>
          <w:bCs/>
          <w:sz w:val="32"/>
          <w:szCs w:val="32"/>
        </w:rPr>
        <w:t>乡村振兴资金由本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科目</w:t>
      </w:r>
      <w:r>
        <w:rPr>
          <w:rFonts w:ascii="仿宋_GB2312" w:hAnsi="仿宋_GB2312" w:eastAsia="仿宋_GB2312" w:cs="仿宋_GB2312"/>
          <w:bCs/>
          <w:sz w:val="32"/>
          <w:szCs w:val="32"/>
        </w:rPr>
        <w:t>支出。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9.城乡社区支出2,367万元，完成预算22.8%，同比减少204万元，降幅8%；主要是原安排社区道路征地支出实际为公路建设支出，及部分乡村振兴资金由节能环保支出科目安排；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10. 农林水支出1,714万元，完成预算97.6%，同比减少418万元，降幅19.6%；主要是2019年新增创建新农村示范村建设配套资金带来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一次性</w:t>
      </w:r>
      <w:r>
        <w:rPr>
          <w:rFonts w:ascii="仿宋_GB2312" w:hAnsi="仿宋_GB2312" w:eastAsia="仿宋_GB2312" w:cs="仿宋_GB2312"/>
          <w:bCs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抬高基数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11.交通运输支出5,979万元，完成预算1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</w:t>
      </w:r>
      <w:r>
        <w:rPr>
          <w:rFonts w:ascii="仿宋_GB2312" w:hAnsi="仿宋_GB2312" w:eastAsia="仿宋_GB2312" w:cs="仿宋_GB2312"/>
          <w:bCs/>
          <w:sz w:val="32"/>
          <w:szCs w:val="32"/>
        </w:rPr>
        <w:t>167.8%，同比增加5,295万元，增幅773.9%；主要是安排公路建设征地补偿支出。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12.资源勘探信息等支出767万元，完成预算87.2%，同比减少1,670万元，降幅68.5%；主要是支持中小企业发展支出规模比去年减少。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13.商业服务业等支出4万元，完成预算80%，同比持平。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14.住房保障支出1,752万元，完成预算95.3%，同比增加230万元，增幅15.1%。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15.粮油物资储备支出149万元，完成预算100%，同比增加1万元，增幅0.5%。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16.灾害防治及应急管理支出767万元，完成预算84.1%，同比减少196万元，降幅20.3%；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主要</w:t>
      </w:r>
      <w:bookmarkStart w:id="5" w:name="_GoBack"/>
      <w:bookmarkEnd w:id="5"/>
      <w:r>
        <w:rPr>
          <w:rFonts w:ascii="仿宋_GB2312" w:hAnsi="仿宋_GB2312" w:eastAsia="仿宋_GB2312" w:cs="仿宋_GB2312"/>
          <w:bCs/>
          <w:sz w:val="32"/>
          <w:szCs w:val="32"/>
        </w:rPr>
        <w:t>是由于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去年</w:t>
      </w:r>
      <w:r>
        <w:rPr>
          <w:rFonts w:ascii="仿宋_GB2312" w:hAnsi="仿宋_GB2312" w:eastAsia="仿宋_GB2312" w:cs="仿宋_GB2312"/>
          <w:bCs/>
          <w:sz w:val="32"/>
          <w:szCs w:val="32"/>
        </w:rPr>
        <w:t>购置消防车支出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抬高基数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17.债务付息支出621万元，完成预算100%，同比增加3万元，增幅0.4%。</w:t>
      </w:r>
    </w:p>
    <w:p>
      <w:pPr>
        <w:pStyle w:val="7"/>
        <w:spacing w:line="48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18.其他支出43万元，完成预算86%，同比减少11万元，降幅19.7%。</w:t>
      </w:r>
    </w:p>
    <w:bookmarkEnd w:id="1"/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二、举借债务情况</w:t>
      </w:r>
    </w:p>
    <w:p>
      <w:pPr>
        <w:ind w:firstLine="472" w:firstLineChars="147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（一）地方政府债券情况</w:t>
      </w:r>
    </w:p>
    <w:p>
      <w:pPr>
        <w:ind w:firstLine="470" w:firstLineChars="147"/>
        <w:rPr>
          <w:rFonts w:ascii="仿宋_GB2312" w:hAnsi="仿宋_GB2312" w:eastAsia="仿宋_GB2312" w:cs="Times New Roman"/>
          <w:kern w:val="0"/>
          <w:sz w:val="32"/>
          <w:szCs w:val="32"/>
        </w:rPr>
      </w:pPr>
      <w:bookmarkStart w:id="2" w:name="PO_part3A1DebtIssue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2020年地方政府债券</w:t>
      </w:r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余额为27,000万元。</w:t>
      </w:r>
    </w:p>
    <w:p>
      <w:pPr>
        <w:ind w:firstLine="57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（二）地方政府债务还本付息情况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bookmarkStart w:id="3" w:name="PO_part3A1DebtRepay"/>
    </w:p>
    <w:p>
      <w:pPr>
        <w:ind w:firstLine="57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20年支付地方政府债券利息806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元，其中：一般债券利息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元，专项债券利息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185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bookmarkEnd w:id="3"/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三、一般公共预算“三公”经费决算执行情况。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2020年汇总全街道各预算单位“三公”经费财政拨款总额148万元，同比减少30万元，降幅16.9%，其中因公出国（境）费用0.2万元，同比减少5万元，降幅95.7%；公务接待费7万元，同比减少1万元，降幅12.5%；公务用车费141万元，同比减少24万元，降幅14.5%，包括：公务用车运行维护费96万元，同比减少11万元，降幅10.3%，公务用车购置费45万元，同比减少13万元，降幅22.4%。  </w:t>
      </w:r>
    </w:p>
    <w:p>
      <w:pPr>
        <w:ind w:firstLine="642" w:firstLineChars="200"/>
        <w:rPr>
          <w:rFonts w:ascii="仿宋_GB2312" w:hAns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四、预算绩效工作推进情况</w:t>
      </w:r>
    </w:p>
    <w:p>
      <w:pPr>
        <w:rPr>
          <w:rFonts w:ascii="黑体" w:hAnsi="黑体" w:eastAsia="黑体" w:cs="Times New Roman"/>
          <w:b/>
          <w:bCs/>
          <w:sz w:val="36"/>
          <w:szCs w:val="36"/>
        </w:rPr>
      </w:pPr>
      <w:bookmarkStart w:id="4" w:name="PO_part3A1Achie"/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为贯彻落实上级关于全面绩效管理的工作部署，将绩效历年融入预算管理全过程，逐步推进相关工作。</w:t>
      </w:r>
    </w:p>
    <w:p>
      <w:pPr>
        <w:jc w:val="center"/>
        <w:rPr>
          <w:rFonts w:ascii="黑体" w:hAnsi="黑体" w:eastAsia="黑体" w:cs="Times New Roman"/>
          <w:b/>
          <w:bCs/>
          <w:sz w:val="36"/>
          <w:szCs w:val="36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044A27"/>
    <w:rsid w:val="00181966"/>
    <w:rsid w:val="001B4922"/>
    <w:rsid w:val="001B4B74"/>
    <w:rsid w:val="001F7EA7"/>
    <w:rsid w:val="0028440F"/>
    <w:rsid w:val="003069D5"/>
    <w:rsid w:val="003C004D"/>
    <w:rsid w:val="00430978"/>
    <w:rsid w:val="004C1F6A"/>
    <w:rsid w:val="007E6979"/>
    <w:rsid w:val="008E3C11"/>
    <w:rsid w:val="008E61BA"/>
    <w:rsid w:val="00925239"/>
    <w:rsid w:val="00C64C28"/>
    <w:rsid w:val="00E57310"/>
    <w:rsid w:val="00F925EE"/>
    <w:rsid w:val="00F962CE"/>
    <w:rsid w:val="00FF21A0"/>
    <w:rsid w:val="00FF316D"/>
    <w:rsid w:val="0491658C"/>
    <w:rsid w:val="1E771E56"/>
    <w:rsid w:val="259B6A23"/>
    <w:rsid w:val="2BE47264"/>
    <w:rsid w:val="539362D7"/>
    <w:rsid w:val="540049E6"/>
    <w:rsid w:val="693A54C3"/>
    <w:rsid w:val="7B7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"/>
    <w:basedOn w:val="1"/>
    <w:qFormat/>
    <w:uiPriority w:val="99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4</Pages>
  <Words>228</Words>
  <Characters>1304</Characters>
  <Lines>10</Lines>
  <Paragraphs>3</Paragraphs>
  <TotalTime>52</TotalTime>
  <ScaleCrop>false</ScaleCrop>
  <LinksUpToDate>false</LinksUpToDate>
  <CharactersWithSpaces>1529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2019-02-01T18:00:00Z</dcterms:created>
  <dc:creator>llh</dc:creator>
  <cp:lastModifiedBy>greatwall</cp:lastModifiedBy>
  <dcterms:modified xsi:type="dcterms:W3CDTF">2021-10-14T15:10:02Z</dcterms:modified>
  <dc:title>第三部分  相关说明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