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4"/>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eastAsia="zh-CN"/>
        </w:rPr>
        <w:t>十九</w:t>
      </w:r>
      <w:r>
        <w:rPr>
          <w:rFonts w:hint="eastAsia" w:ascii="方正小标宋_GBK" w:hAnsi="方正小标宋_GBK" w:eastAsia="方正小标宋_GBK"/>
          <w:b w:val="0"/>
          <w:bCs w:val="0"/>
          <w:sz w:val="30"/>
        </w:rPr>
        <w:t>）</w:t>
      </w:r>
      <w:bookmarkStart w:id="1" w:name="_GoBack"/>
      <w:r>
        <w:rPr>
          <w:rFonts w:hint="eastAsia" w:ascii="方正小标宋_GBK" w:hAnsi="方正小标宋_GBK" w:eastAsia="方正小标宋_GBK"/>
          <w:b w:val="0"/>
          <w:bCs w:val="0"/>
          <w:sz w:val="30"/>
        </w:rPr>
        <w:t>卫生健康领域基层政务公开标准目录</w:t>
      </w:r>
      <w:bookmarkEnd w:id="0"/>
    </w:p>
    <w:bookmarkEnd w:id="1"/>
    <w:tbl>
      <w:tblPr>
        <w:tblStyle w:val="3"/>
        <w:tblW w:w="0" w:type="auto"/>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noWrap w:val="0"/>
            <w:vAlign w:val="center"/>
          </w:tcPr>
          <w:p>
            <w:pPr>
              <w:widowControl/>
              <w:jc w:val="left"/>
              <w:rPr>
                <w:rFonts w:ascii="黑体" w:hAnsi="宋体" w:eastAsia="黑体" w:cs="宋体"/>
                <w:color w:val="000000"/>
                <w:kern w:val="0"/>
                <w:sz w:val="22"/>
              </w:rPr>
            </w:pPr>
          </w:p>
        </w:tc>
        <w:tc>
          <w:tcPr>
            <w:tcW w:w="180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72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4</w:t>
            </w:r>
          </w:p>
        </w:tc>
        <w:tc>
          <w:tcPr>
            <w:tcW w:w="720" w:type="dxa"/>
            <w:vMerge w:val="restart"/>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行政许可类事项</w:t>
            </w:r>
          </w:p>
        </w:tc>
        <w:tc>
          <w:tcPr>
            <w:tcW w:w="1188" w:type="dxa"/>
            <w:vMerge w:val="restart"/>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医疗机构执业登记（人体器官移植除外）（权限内）</w:t>
            </w:r>
          </w:p>
        </w:tc>
        <w:tc>
          <w:tcPr>
            <w:tcW w:w="4140"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1.法律法规和政策文件</w:t>
            </w:r>
          </w:p>
          <w:p>
            <w:pPr>
              <w:rPr>
                <w:rFonts w:ascii="仿宋_GB2312" w:hAnsi="宋体" w:eastAsia="仿宋_GB2312"/>
                <w:color w:val="auto"/>
                <w:sz w:val="18"/>
                <w:szCs w:val="18"/>
              </w:rPr>
            </w:pPr>
            <w:r>
              <w:rPr>
                <w:rFonts w:hint="eastAsia" w:ascii="仿宋_GB2312" w:hAnsi="宋体" w:eastAsia="仿宋_GB2312"/>
                <w:color w:val="auto"/>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auto"/>
                <w:sz w:val="18"/>
                <w:szCs w:val="18"/>
              </w:rPr>
            </w:pPr>
            <w:r>
              <w:rPr>
                <w:rFonts w:hint="eastAsia" w:ascii="仿宋_GB2312" w:hAnsi="宋体" w:eastAsia="仿宋_GB2312"/>
                <w:color w:val="auto"/>
                <w:sz w:val="18"/>
                <w:szCs w:val="18"/>
              </w:rPr>
              <w:t>3.过程信息，各地可根据实际情况适当公开受理、审核、审批、送达等相关信息</w:t>
            </w:r>
          </w:p>
        </w:tc>
        <w:tc>
          <w:tcPr>
            <w:tcW w:w="1800" w:type="dxa"/>
            <w:vMerge w:val="restart"/>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《行政许可法》、《医疗机构管理条例》、《医疗机构管理条例实施细则》、《医疗美容服务管理办法》</w:t>
            </w:r>
          </w:p>
        </w:tc>
        <w:tc>
          <w:tcPr>
            <w:tcW w:w="1440"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自信息形成或者变更之日起20个工作日内予以公开</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卫生健康行政部门</w:t>
            </w:r>
          </w:p>
        </w:tc>
        <w:tc>
          <w:tcPr>
            <w:tcW w:w="1080"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96"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664" w:type="dxa"/>
            <w:noWrap w:val="0"/>
            <w:vAlign w:val="center"/>
          </w:tcPr>
          <w:p>
            <w:pPr>
              <w:jc w:val="center"/>
              <w:rPr>
                <w:rFonts w:ascii="仿宋_GB2312" w:hAnsi="宋体" w:eastAsia="仿宋_GB2312"/>
                <w:color w:val="auto"/>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noWrap w:val="0"/>
            <w:vAlign w:val="center"/>
          </w:tcPr>
          <w:p>
            <w:pPr>
              <w:rPr>
                <w:rFonts w:ascii="仿宋_GB2312" w:hAnsi="宋体" w:eastAsia="仿宋_GB2312"/>
                <w:color w:val="auto"/>
                <w:sz w:val="18"/>
                <w:szCs w:val="18"/>
              </w:rPr>
            </w:pPr>
          </w:p>
        </w:tc>
        <w:tc>
          <w:tcPr>
            <w:tcW w:w="720" w:type="dxa"/>
            <w:vMerge w:val="continue"/>
            <w:noWrap w:val="0"/>
            <w:vAlign w:val="center"/>
          </w:tcPr>
          <w:p>
            <w:pPr>
              <w:rPr>
                <w:rFonts w:ascii="仿宋_GB2312" w:hAnsi="宋体" w:eastAsia="仿宋_GB2312"/>
                <w:color w:val="auto"/>
                <w:sz w:val="18"/>
                <w:szCs w:val="18"/>
              </w:rPr>
            </w:pPr>
          </w:p>
        </w:tc>
        <w:tc>
          <w:tcPr>
            <w:tcW w:w="1188" w:type="dxa"/>
            <w:vMerge w:val="continue"/>
            <w:noWrap w:val="0"/>
            <w:vAlign w:val="center"/>
          </w:tcPr>
          <w:p>
            <w:pPr>
              <w:rPr>
                <w:rFonts w:ascii="仿宋_GB2312" w:hAnsi="宋体" w:eastAsia="仿宋_GB2312"/>
                <w:color w:val="auto"/>
                <w:sz w:val="18"/>
                <w:szCs w:val="18"/>
              </w:rPr>
            </w:pPr>
          </w:p>
        </w:tc>
        <w:tc>
          <w:tcPr>
            <w:tcW w:w="4140"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结果信息——医疗机构名称、地址、诊疗科目、法定代表人、主要负责人、登记号、医疗机构执业许可证有效期限、审批机关</w:t>
            </w:r>
          </w:p>
        </w:tc>
        <w:tc>
          <w:tcPr>
            <w:tcW w:w="1800" w:type="dxa"/>
            <w:vMerge w:val="continue"/>
            <w:noWrap w:val="0"/>
            <w:vAlign w:val="center"/>
          </w:tcPr>
          <w:p>
            <w:pPr>
              <w:rPr>
                <w:rFonts w:ascii="仿宋_GB2312" w:hAnsi="宋体" w:eastAsia="仿宋_GB2312"/>
                <w:color w:val="auto"/>
                <w:sz w:val="18"/>
                <w:szCs w:val="18"/>
              </w:rPr>
            </w:pPr>
          </w:p>
        </w:tc>
        <w:tc>
          <w:tcPr>
            <w:tcW w:w="1440"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自信息形成或者变更之日起7个工作日内予以公开</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卫生健康行政部门</w:t>
            </w:r>
          </w:p>
        </w:tc>
        <w:tc>
          <w:tcPr>
            <w:tcW w:w="1080"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96"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664" w:type="dxa"/>
            <w:noWrap w:val="0"/>
            <w:vAlign w:val="center"/>
          </w:tcPr>
          <w:p>
            <w:pPr>
              <w:jc w:val="center"/>
              <w:rPr>
                <w:rFonts w:ascii="仿宋_GB2312" w:hAnsi="宋体" w:eastAsia="仿宋_GB2312"/>
                <w:color w:val="auto"/>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rPr>
                <w:rFonts w:hint="eastAsia" w:ascii="仿宋_GB2312" w:hAnsi="宋体" w:eastAsia="仿宋_GB2312"/>
                <w:color w:val="000000"/>
                <w:sz w:val="18"/>
                <w:szCs w:val="18"/>
              </w:rPr>
            </w:pPr>
          </w:p>
        </w:tc>
        <w:tc>
          <w:tcPr>
            <w:tcW w:w="596" w:type="dxa"/>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rPr>
                <w:rFonts w:hint="eastAsia" w:ascii="仿宋_GB2312" w:hAnsi="宋体" w:eastAsia="仿宋_GB2312"/>
                <w:color w:val="000000"/>
                <w:sz w:val="18"/>
                <w:szCs w:val="18"/>
              </w:rPr>
            </w:pPr>
          </w:p>
        </w:tc>
        <w:tc>
          <w:tcPr>
            <w:tcW w:w="540" w:type="dxa"/>
            <w:noWrap w:val="0"/>
            <w:vAlign w:val="center"/>
          </w:tcPr>
          <w:p>
            <w:pPr>
              <w:widowControl/>
              <w:rPr>
                <w:rFonts w:hint="eastAsia" w:ascii="仿宋_GB2312" w:hAnsi="宋体" w:eastAsia="仿宋_GB2312"/>
                <w:color w:val="000000"/>
                <w:sz w:val="18"/>
                <w:szCs w:val="18"/>
              </w:rPr>
            </w:pPr>
          </w:p>
        </w:tc>
        <w:tc>
          <w:tcPr>
            <w:tcW w:w="664" w:type="dxa"/>
            <w:noWrap w:val="0"/>
            <w:vAlign w:val="center"/>
          </w:tcPr>
          <w:p>
            <w:pPr>
              <w:widowControl/>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noWrap w:val="0"/>
            <w:vAlign w:val="center"/>
          </w:tcPr>
          <w:p>
            <w:pPr>
              <w:widowControl/>
              <w:rPr>
                <w:rFonts w:ascii="仿宋_GB2312" w:hAnsi="宋体" w:eastAsia="仿宋_GB2312"/>
                <w:color w:val="000000"/>
                <w:sz w:val="18"/>
                <w:szCs w:val="18"/>
              </w:rPr>
            </w:pPr>
          </w:p>
        </w:tc>
        <w:tc>
          <w:tcPr>
            <w:tcW w:w="720" w:type="dxa"/>
            <w:vMerge w:val="continue"/>
            <w:noWrap w:val="0"/>
            <w:vAlign w:val="center"/>
          </w:tcPr>
          <w:p>
            <w:pPr>
              <w:widowControl/>
              <w:rPr>
                <w:rFonts w:ascii="仿宋_GB2312" w:hAnsi="宋体" w:eastAsia="仿宋_GB2312"/>
                <w:color w:val="000000"/>
                <w:sz w:val="18"/>
                <w:szCs w:val="18"/>
              </w:rPr>
            </w:pPr>
          </w:p>
        </w:tc>
        <w:tc>
          <w:tcPr>
            <w:tcW w:w="1188" w:type="dxa"/>
            <w:vMerge w:val="continue"/>
            <w:noWrap w:val="0"/>
            <w:vAlign w:val="center"/>
          </w:tcPr>
          <w:p>
            <w:pPr>
              <w:widowControl/>
              <w:rPr>
                <w:rFonts w:ascii="仿宋_GB2312" w:hAnsi="宋体" w:eastAsia="仿宋_GB2312"/>
                <w:color w:val="000000"/>
                <w:sz w:val="18"/>
                <w:szCs w:val="18"/>
              </w:rPr>
            </w:pPr>
          </w:p>
        </w:tc>
        <w:tc>
          <w:tcPr>
            <w:tcW w:w="41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800" w:type="dxa"/>
            <w:vMerge w:val="continue"/>
            <w:noWrap w:val="0"/>
            <w:vAlign w:val="center"/>
          </w:tcPr>
          <w:p>
            <w:pPr>
              <w:widowControl/>
              <w:rPr>
                <w:rFonts w:ascii="仿宋_GB2312" w:hAnsi="宋体" w:eastAsia="仿宋_GB2312"/>
                <w:color w:val="000000"/>
                <w:sz w:val="18"/>
                <w:szCs w:val="18"/>
              </w:rPr>
            </w:pPr>
          </w:p>
        </w:tc>
        <w:tc>
          <w:tcPr>
            <w:tcW w:w="144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000000"/>
                <w:sz w:val="18"/>
                <w:szCs w:val="18"/>
              </w:rPr>
            </w:pPr>
          </w:p>
        </w:tc>
        <w:tc>
          <w:tcPr>
            <w:tcW w:w="1080" w:type="dxa"/>
            <w:vMerge w:val="continue"/>
            <w:noWrap w:val="0"/>
            <w:vAlign w:val="center"/>
          </w:tcPr>
          <w:p>
            <w:pPr>
              <w:widowControl/>
              <w:rPr>
                <w:rFonts w:hint="eastAsia"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noWrap w:val="0"/>
            <w:vAlign w:val="center"/>
          </w:tcPr>
          <w:p>
            <w:pPr>
              <w:widowControl/>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10</w:t>
            </w:r>
          </w:p>
        </w:tc>
        <w:tc>
          <w:tcPr>
            <w:tcW w:w="720" w:type="dxa"/>
            <w:vMerge w:val="restart"/>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行政许可类事项</w:t>
            </w:r>
          </w:p>
        </w:tc>
        <w:tc>
          <w:tcPr>
            <w:tcW w:w="1188" w:type="dxa"/>
            <w:vMerge w:val="restart"/>
            <w:noWrap w:val="0"/>
            <w:vAlign w:val="center"/>
          </w:tcPr>
          <w:p>
            <w:pPr>
              <w:widowControl/>
              <w:rPr>
                <w:rFonts w:ascii="仿宋_GB2312" w:hAnsi="宋体" w:eastAsia="仿宋_GB2312"/>
                <w:color w:val="auto"/>
                <w:sz w:val="18"/>
                <w:szCs w:val="18"/>
              </w:rPr>
            </w:pPr>
            <w:r>
              <w:rPr>
                <w:rFonts w:hint="eastAsia" w:ascii="仿宋_GB2312" w:hAnsi="宋体" w:eastAsia="仿宋_GB2312"/>
                <w:color w:val="auto"/>
                <w:sz w:val="18"/>
                <w:szCs w:val="18"/>
              </w:rPr>
              <w:t>乡村医生执业注册（包括乡村医生执业再注册）</w:t>
            </w:r>
          </w:p>
        </w:tc>
        <w:tc>
          <w:tcPr>
            <w:tcW w:w="4140" w:type="dxa"/>
            <w:noWrap w:val="0"/>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1.法律法规和政策文件</w:t>
            </w:r>
          </w:p>
          <w:p>
            <w:pPr>
              <w:rPr>
                <w:rFonts w:hint="eastAsia" w:ascii="仿宋_GB2312" w:hAnsi="宋体" w:eastAsia="仿宋_GB2312"/>
                <w:color w:val="auto"/>
                <w:sz w:val="18"/>
                <w:szCs w:val="18"/>
              </w:rPr>
            </w:pPr>
            <w:r>
              <w:rPr>
                <w:rFonts w:hint="eastAsia" w:ascii="仿宋_GB2312" w:hAnsi="宋体" w:eastAsia="仿宋_GB2312"/>
                <w:color w:val="auto"/>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auto"/>
                <w:sz w:val="18"/>
                <w:szCs w:val="18"/>
              </w:rPr>
            </w:pPr>
            <w:r>
              <w:rPr>
                <w:rFonts w:hint="eastAsia" w:ascii="仿宋_GB2312" w:hAnsi="宋体" w:eastAsia="仿宋_GB2312"/>
                <w:color w:val="auto"/>
                <w:sz w:val="18"/>
                <w:szCs w:val="18"/>
              </w:rPr>
              <w:t>3.过程信息，各地可根据实际情况适当公开受理、审核、审批、送达等相关信息</w:t>
            </w:r>
          </w:p>
        </w:tc>
        <w:tc>
          <w:tcPr>
            <w:tcW w:w="1800" w:type="dxa"/>
            <w:vMerge w:val="restart"/>
            <w:noWrap w:val="0"/>
            <w:vAlign w:val="center"/>
          </w:tcPr>
          <w:p>
            <w:pPr>
              <w:widowControl/>
              <w:rPr>
                <w:rFonts w:ascii="仿宋_GB2312" w:hAnsi="宋体" w:eastAsia="仿宋_GB2312"/>
                <w:color w:val="auto"/>
                <w:sz w:val="18"/>
                <w:szCs w:val="18"/>
              </w:rPr>
            </w:pPr>
            <w:r>
              <w:rPr>
                <w:rFonts w:hint="eastAsia" w:ascii="仿宋_GB2312" w:hAnsi="宋体" w:eastAsia="仿宋_GB2312"/>
                <w:color w:val="auto"/>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自信息形成或者变更之日起20个工作日内予以公开</w:t>
            </w:r>
          </w:p>
        </w:tc>
        <w:tc>
          <w:tcPr>
            <w:tcW w:w="720" w:type="dxa"/>
            <w:vMerge w:val="restart"/>
            <w:noWrap w:val="0"/>
            <w:vAlign w:val="center"/>
          </w:tcPr>
          <w:p>
            <w:pPr>
              <w:widowControl/>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卫生健康行政部门</w:t>
            </w:r>
          </w:p>
        </w:tc>
        <w:tc>
          <w:tcPr>
            <w:tcW w:w="1080" w:type="dxa"/>
            <w:vMerge w:val="restart"/>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tc>
        <w:tc>
          <w:tcPr>
            <w:tcW w:w="72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96"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664"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noWrap w:val="0"/>
            <w:vAlign w:val="center"/>
          </w:tcPr>
          <w:p>
            <w:pPr>
              <w:widowControl/>
              <w:rPr>
                <w:rFonts w:ascii="仿宋_GB2312" w:hAnsi="宋体" w:eastAsia="仿宋_GB2312"/>
                <w:color w:val="auto"/>
                <w:sz w:val="18"/>
                <w:szCs w:val="18"/>
              </w:rPr>
            </w:pPr>
          </w:p>
        </w:tc>
        <w:tc>
          <w:tcPr>
            <w:tcW w:w="720" w:type="dxa"/>
            <w:vMerge w:val="continue"/>
            <w:noWrap w:val="0"/>
            <w:vAlign w:val="center"/>
          </w:tcPr>
          <w:p>
            <w:pPr>
              <w:widowControl/>
              <w:rPr>
                <w:rFonts w:ascii="仿宋_GB2312" w:hAnsi="宋体" w:eastAsia="仿宋_GB2312"/>
                <w:color w:val="auto"/>
                <w:sz w:val="18"/>
                <w:szCs w:val="18"/>
              </w:rPr>
            </w:pPr>
          </w:p>
        </w:tc>
        <w:tc>
          <w:tcPr>
            <w:tcW w:w="1188" w:type="dxa"/>
            <w:vMerge w:val="continue"/>
            <w:noWrap w:val="0"/>
            <w:vAlign w:val="center"/>
          </w:tcPr>
          <w:p>
            <w:pPr>
              <w:widowControl/>
              <w:rPr>
                <w:rFonts w:ascii="仿宋_GB2312" w:hAnsi="宋体" w:eastAsia="仿宋_GB2312"/>
                <w:color w:val="auto"/>
                <w:sz w:val="18"/>
                <w:szCs w:val="18"/>
              </w:rPr>
            </w:pPr>
          </w:p>
        </w:tc>
        <w:tc>
          <w:tcPr>
            <w:tcW w:w="4140" w:type="dxa"/>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结果信息，包括姓名、性别、类别、执业地点、证书编码、主要执业机构、发证（批准）机关等相关信息</w:t>
            </w:r>
          </w:p>
        </w:tc>
        <w:tc>
          <w:tcPr>
            <w:tcW w:w="1800" w:type="dxa"/>
            <w:vMerge w:val="continue"/>
            <w:noWrap w:val="0"/>
            <w:vAlign w:val="center"/>
          </w:tcPr>
          <w:p>
            <w:pPr>
              <w:widowControl/>
              <w:rPr>
                <w:rFonts w:ascii="仿宋_GB2312" w:hAnsi="宋体" w:eastAsia="仿宋_GB2312"/>
                <w:color w:val="auto"/>
                <w:sz w:val="18"/>
                <w:szCs w:val="18"/>
              </w:rPr>
            </w:pPr>
          </w:p>
        </w:tc>
        <w:tc>
          <w:tcPr>
            <w:tcW w:w="1440" w:type="dxa"/>
            <w:noWrap w:val="0"/>
            <w:vAlign w:val="center"/>
          </w:tcPr>
          <w:p>
            <w:pPr>
              <w:widowControl/>
              <w:rPr>
                <w:rFonts w:hint="eastAsia" w:ascii="仿宋_GB2312" w:hAnsi="宋体" w:eastAsia="仿宋_GB2312"/>
                <w:color w:val="auto"/>
                <w:sz w:val="18"/>
                <w:szCs w:val="18"/>
              </w:rPr>
            </w:pPr>
            <w:r>
              <w:rPr>
                <w:rFonts w:hint="eastAsia" w:ascii="仿宋_GB2312" w:hAnsi="宋体" w:eastAsia="仿宋_GB2312"/>
                <w:color w:val="auto"/>
                <w:sz w:val="18"/>
                <w:szCs w:val="18"/>
              </w:rPr>
              <w:t>自信息形成或者变更之日起7个工作日内予以公开</w:t>
            </w:r>
          </w:p>
        </w:tc>
        <w:tc>
          <w:tcPr>
            <w:tcW w:w="720" w:type="dxa"/>
            <w:vMerge w:val="continue"/>
            <w:noWrap w:val="0"/>
            <w:vAlign w:val="center"/>
          </w:tcPr>
          <w:p>
            <w:pPr>
              <w:widowControl/>
              <w:rPr>
                <w:rFonts w:hint="eastAsia" w:ascii="仿宋_GB2312" w:hAnsi="宋体" w:eastAsia="仿宋_GB2312"/>
                <w:color w:val="auto"/>
                <w:sz w:val="18"/>
                <w:szCs w:val="18"/>
              </w:rPr>
            </w:pPr>
          </w:p>
        </w:tc>
        <w:tc>
          <w:tcPr>
            <w:tcW w:w="1080" w:type="dxa"/>
            <w:vMerge w:val="continue"/>
            <w:noWrap w:val="0"/>
            <w:vAlign w:val="center"/>
          </w:tcPr>
          <w:p>
            <w:pPr>
              <w:widowControl/>
              <w:rPr>
                <w:rFonts w:hint="eastAsia" w:ascii="仿宋_GB2312" w:hAnsi="宋体" w:eastAsia="仿宋_GB2312"/>
                <w:color w:val="auto"/>
                <w:sz w:val="18"/>
                <w:szCs w:val="18"/>
              </w:rPr>
            </w:pPr>
          </w:p>
        </w:tc>
        <w:tc>
          <w:tcPr>
            <w:tcW w:w="72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96"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664" w:type="dxa"/>
            <w:noWrap w:val="0"/>
            <w:vAlign w:val="center"/>
          </w:tcPr>
          <w:p>
            <w:pPr>
              <w:widowControl/>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7243"/>
    <w:rsid w:val="05977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2020-11-30T07:50:00Z</dcterms:created>
  <dc:creator>HP</dc:creator>
  <cp:lastModifiedBy>HP</cp:lastModifiedBy>
  <dcterms:modified xsi:type="dcterms:W3CDTF">2020-11-30T07:50:09Z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