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中山市</w:t>
      </w:r>
      <w:r>
        <w:rPr>
          <w:rFonts w:hint="eastAsia" w:ascii="方正小标宋简体" w:hAnsi="方正小标宋简体" w:eastAsia="方正小标宋简体" w:cs="方正小标宋简体"/>
          <w:b w:val="0"/>
          <w:bCs w:val="0"/>
          <w:sz w:val="44"/>
          <w:szCs w:val="44"/>
          <w:lang w:eastAsia="zh-CN"/>
        </w:rPr>
        <w:t>商务领域免于行政检查和</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减少行政检查频次</w:t>
      </w:r>
      <w:r>
        <w:rPr>
          <w:rFonts w:hint="eastAsia" w:ascii="方正小标宋简体" w:hAnsi="方正小标宋简体" w:eastAsia="方正小标宋简体" w:cs="方正小标宋简体"/>
          <w:b w:val="0"/>
          <w:bCs w:val="0"/>
          <w:sz w:val="44"/>
          <w:szCs w:val="44"/>
        </w:rPr>
        <w:t>清单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74" w:lineRule="exact"/>
        <w:textAlignment w:val="auto"/>
        <w:rPr>
          <w:rFonts w:hint="eastAsia" w:ascii="仿宋_GB2312" w:hAnsi="仿宋_GB2312" w:eastAsia="仿宋_GB2312" w:cs="仿宋_GB2312"/>
          <w:sz w:val="32"/>
          <w:szCs w:val="32"/>
        </w:rPr>
      </w:pPr>
    </w:p>
    <w:p>
      <w:pPr>
        <w:keepNext w:val="0"/>
        <w:keepLines w:val="0"/>
        <w:pageBreakBefore w:val="0"/>
        <w:widowControl/>
        <w:suppressLineNumbers w:val="0"/>
        <w:kinsoku/>
        <w:wordWrap/>
        <w:overflowPunct/>
        <w:topLinePunct w:val="0"/>
        <w:autoSpaceDE/>
        <w:autoSpaceDN/>
        <w:bidi w:val="0"/>
        <w:adjustRightInd/>
        <w:snapToGrid/>
        <w:spacing w:line="574"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为进一步优化营商环境，</w:t>
      </w:r>
      <w:r>
        <w:rPr>
          <w:rFonts w:hint="eastAsia" w:ascii="仿宋_GB2312" w:hAnsi="仿宋_GB2312" w:eastAsia="仿宋_GB2312" w:cs="仿宋_GB2312"/>
          <w:sz w:val="32"/>
          <w:szCs w:val="32"/>
          <w:lang w:eastAsia="zh-CN"/>
        </w:rPr>
        <w:t>推行服务型执法理念，</w:t>
      </w:r>
      <w:r>
        <w:rPr>
          <w:rFonts w:hint="eastAsia" w:ascii="仿宋_GB2312" w:hAnsi="仿宋_GB2312" w:eastAsia="仿宋_GB2312" w:cs="仿宋_GB2312"/>
          <w:sz w:val="32"/>
          <w:szCs w:val="32"/>
        </w:rPr>
        <w:t>实施包容审慎监管，</w:t>
      </w:r>
      <w:r>
        <w:rPr>
          <w:rFonts w:hint="eastAsia" w:ascii="仿宋_GB2312" w:hAnsi="仿宋_GB2312" w:eastAsia="仿宋_GB2312" w:cs="仿宋_GB2312"/>
          <w:sz w:val="32"/>
          <w:szCs w:val="32"/>
          <w:lang w:val="en-US" w:eastAsia="zh-CN"/>
        </w:rPr>
        <w:t>助推柔性行政执法工作见成效、出实绩，</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《国务院关于做好自由贸易试验区第六批改革试点经验复制推广工作的通知》</w:t>
      </w:r>
      <w:r>
        <w:rPr>
          <w:rFonts w:hint="eastAsia" w:ascii="仿宋_GB2312" w:hAnsi="仿宋_GB2312" w:eastAsia="仿宋_GB2312" w:cs="仿宋_GB2312"/>
          <w:sz w:val="32"/>
          <w:szCs w:val="32"/>
          <w:u w:val="none"/>
          <w:lang w:val="en-US" w:eastAsia="zh-CN"/>
        </w:rPr>
        <w:t>（国函〔2020〕96号）、《广东省行政检查办法》、中山市依法行政工作领导小组办公室</w:t>
      </w:r>
      <w:r>
        <w:rPr>
          <w:rFonts w:hint="eastAsia" w:ascii="仿宋_GB2312" w:hAnsi="仿宋_GB2312" w:eastAsia="仿宋_GB2312" w:cs="仿宋_GB2312"/>
          <w:sz w:val="32"/>
          <w:szCs w:val="32"/>
          <w:u w:val="none"/>
          <w:lang w:eastAsia="zh-CN"/>
        </w:rPr>
        <w:t>《关于印发〈中山市推进“包容审慎行政执法”工作实施方案〉的通知》（中法行办〔</w:t>
      </w:r>
      <w:r>
        <w:rPr>
          <w:rFonts w:hint="eastAsia" w:ascii="仿宋_GB2312" w:hAnsi="仿宋_GB2312" w:eastAsia="仿宋_GB2312" w:cs="仿宋_GB2312"/>
          <w:sz w:val="32"/>
          <w:szCs w:val="32"/>
          <w:u w:val="none"/>
          <w:lang w:val="en-US" w:eastAsia="zh-CN"/>
        </w:rPr>
        <w:t>2021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1号</w:t>
      </w:r>
      <w:r>
        <w:rPr>
          <w:rFonts w:hint="eastAsia" w:ascii="仿宋_GB2312" w:hAnsi="仿宋_GB2312" w:eastAsia="仿宋_GB2312" w:cs="仿宋_GB2312"/>
          <w:sz w:val="32"/>
          <w:szCs w:val="32"/>
          <w:u w:val="none"/>
          <w:lang w:eastAsia="zh-CN"/>
        </w:rPr>
        <w:t>）等规定</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结合我市商务工作实际，</w:t>
      </w:r>
      <w:r>
        <w:rPr>
          <w:rFonts w:hint="eastAsia" w:ascii="仿宋_GB2312" w:hAnsi="仿宋_GB2312" w:eastAsia="仿宋_GB2312" w:cs="仿宋_GB2312"/>
          <w:sz w:val="32"/>
          <w:szCs w:val="32"/>
          <w:u w:val="none"/>
        </w:rPr>
        <w:t>制定本清单。</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黑体" w:hAnsi="黑体" w:eastAsia="黑体" w:cs="黑体"/>
          <w:bCs/>
          <w:sz w:val="32"/>
          <w:szCs w:val="32"/>
          <w:highlight w:val="none"/>
          <w:u w:val="none"/>
        </w:rPr>
      </w:pPr>
      <w:r>
        <w:rPr>
          <w:rFonts w:hint="eastAsia" w:ascii="黑体" w:hAnsi="黑体" w:eastAsia="黑体" w:cs="黑体"/>
          <w:b w:val="0"/>
          <w:i w:val="0"/>
          <w:caps w:val="0"/>
          <w:color w:val="auto"/>
          <w:spacing w:val="0"/>
          <w:sz w:val="32"/>
          <w:szCs w:val="32"/>
          <w:shd w:val="clear" w:color="auto" w:fill="FFFFFF"/>
          <w:lang w:eastAsia="zh-CN"/>
        </w:rPr>
        <w:t>一、免于行政检查清单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楷体_GB2312" w:hAnsi="楷体_GB2312" w:eastAsia="楷体_GB2312" w:cs="楷体_GB2312"/>
          <w:bCs/>
          <w:sz w:val="32"/>
          <w:szCs w:val="32"/>
          <w:highlight w:val="none"/>
          <w:u w:val="none"/>
          <w:lang w:eastAsia="zh-CN"/>
        </w:rPr>
      </w:pPr>
      <w:r>
        <w:rPr>
          <w:rFonts w:hint="eastAsia" w:ascii="楷体_GB2312" w:hAnsi="楷体_GB2312" w:eastAsia="楷体_GB2312" w:cs="楷体_GB2312"/>
          <w:bCs/>
          <w:sz w:val="32"/>
          <w:szCs w:val="32"/>
          <w:highlight w:val="none"/>
          <w:u w:val="none"/>
          <w:lang w:eastAsia="zh-CN"/>
        </w:rPr>
        <w:t>（一）外商投资信息报告监督检查类</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在上一年度“双随机”抽查、专项检查（包括根据投诉举报、上级交办、其他机关移送等案件线索或者专项整治而开展的检查）时，未发现因违反《中华人民共和国外商投资法》《外商投资信息报告办法》等规定而收到责令改正通知书或被给予行政处罚的外国投资者、外商投资企业，免于本年度对其履行信息报告义务情况的“双随机”抽查。</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楷体_GB2312" w:hAnsi="楷体_GB2312" w:eastAsia="楷体_GB2312" w:cs="楷体_GB2312"/>
          <w:bCs/>
          <w:sz w:val="32"/>
          <w:szCs w:val="32"/>
          <w:highlight w:val="none"/>
          <w:u w:val="none"/>
          <w:lang w:eastAsia="zh-CN"/>
        </w:rPr>
      </w:pPr>
      <w:r>
        <w:rPr>
          <w:rFonts w:hint="eastAsia" w:ascii="楷体_GB2312" w:hAnsi="楷体_GB2312" w:eastAsia="楷体_GB2312" w:cs="楷体_GB2312"/>
          <w:bCs/>
          <w:sz w:val="32"/>
          <w:szCs w:val="32"/>
          <w:highlight w:val="none"/>
          <w:u w:val="none"/>
          <w:lang w:eastAsia="zh-CN"/>
        </w:rPr>
        <w:t>（二）其他类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2"/>
          <w:sz w:val="32"/>
          <w:szCs w:val="32"/>
          <w:highlight w:val="none"/>
          <w:u w:val="none"/>
          <w:lang w:val="en-US" w:eastAsia="zh-CN" w:bidi="ar-SA"/>
        </w:rPr>
      </w:pPr>
      <w:r>
        <w:rPr>
          <w:rFonts w:hint="eastAsia" w:ascii="Times New Roman" w:hAnsi="Times New Roman" w:eastAsia="仿宋_GB2312" w:cs="Times New Roman"/>
          <w:bCs/>
          <w:sz w:val="32"/>
          <w:szCs w:val="32"/>
          <w:highlight w:val="none"/>
          <w:u w:val="none"/>
          <w:lang w:eastAsia="zh-CN"/>
        </w:rPr>
        <w:t>同时符合下列情形的商务领域相关市场主体，免于本年度</w:t>
      </w:r>
      <w:r>
        <w:rPr>
          <w:rFonts w:hint="eastAsia" w:ascii="仿宋_GB2312" w:hAnsi="仿宋_GB2312" w:eastAsia="仿宋_GB2312" w:cs="仿宋_GB2312"/>
          <w:b w:val="0"/>
          <w:bCs/>
          <w:kern w:val="2"/>
          <w:sz w:val="32"/>
          <w:szCs w:val="32"/>
          <w:highlight w:val="none"/>
          <w:u w:val="none"/>
          <w:lang w:val="en-US" w:eastAsia="zh-CN" w:bidi="ar-SA"/>
        </w:rPr>
        <w:t>“双随机”抽查：</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lang w:val="en-US" w:eastAsia="zh-CN"/>
        </w:rPr>
      </w:pPr>
      <w:r>
        <w:rPr>
          <w:rFonts w:hint="eastAsia" w:ascii="仿宋_GB2312" w:hAnsi="仿宋_GB2312" w:eastAsia="仿宋_GB2312" w:cs="仿宋_GB2312"/>
          <w:b w:val="0"/>
          <w:bCs/>
          <w:kern w:val="2"/>
          <w:sz w:val="32"/>
          <w:szCs w:val="32"/>
          <w:highlight w:val="none"/>
          <w:u w:val="none"/>
          <w:lang w:val="en-US" w:eastAsia="zh-CN" w:bidi="ar-SA"/>
        </w:rPr>
        <w:t>1.属于一般监管行业领域，而非重点监管行业领域；</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ascii="仿宋_GB2312" w:hAnsi="仿宋_GB2312" w:eastAsia="仿宋_GB2312" w:cs="仿宋_GB2312"/>
          <w:b w:val="0"/>
          <w:bCs/>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2.商务领域法定抽查事项的法律责任规定最高不超过罚款3万元；</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b w:val="0"/>
          <w:bCs/>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3.在上一年度“双随机”抽查、专项检查（包括根据投诉举报、上级交办、其他机关移送等案件线索或者专项整治而开展的检查）时，未发现因违反商务领域有关法律法规而收到责令改正通知书或被给予行政处罚。</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黑体" w:hAnsi="黑体" w:eastAsia="黑体" w:cs="黑体"/>
          <w:b w:val="0"/>
          <w:i w:val="0"/>
          <w:caps w:val="0"/>
          <w:color w:val="auto"/>
          <w:spacing w:val="0"/>
          <w:sz w:val="32"/>
          <w:szCs w:val="32"/>
          <w:shd w:val="clear" w:color="auto" w:fill="FFFFFF"/>
          <w:lang w:eastAsia="zh-CN"/>
        </w:rPr>
      </w:pPr>
      <w:r>
        <w:rPr>
          <w:rFonts w:hint="eastAsia" w:ascii="黑体" w:hAnsi="黑体" w:eastAsia="黑体" w:cs="黑体"/>
          <w:b w:val="0"/>
          <w:bCs/>
          <w:sz w:val="32"/>
          <w:szCs w:val="32"/>
          <w:highlight w:val="none"/>
          <w:u w:val="none"/>
        </w:rPr>
        <w:t>二、</w:t>
      </w:r>
      <w:r>
        <w:rPr>
          <w:rFonts w:hint="eastAsia" w:ascii="黑体" w:hAnsi="黑体" w:eastAsia="黑体" w:cs="黑体"/>
          <w:b w:val="0"/>
          <w:i w:val="0"/>
          <w:caps w:val="0"/>
          <w:color w:val="auto"/>
          <w:spacing w:val="0"/>
          <w:sz w:val="32"/>
          <w:szCs w:val="32"/>
          <w:shd w:val="clear" w:color="auto" w:fill="FFFFFF"/>
          <w:lang w:eastAsia="zh-CN"/>
        </w:rPr>
        <w:t>减少行政检查频次清单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lang w:val="en-US" w:eastAsia="zh-CN"/>
        </w:rPr>
      </w:pPr>
      <w:r>
        <w:rPr>
          <w:rFonts w:hint="eastAsia" w:ascii="Times New Roman" w:hAnsi="Times New Roman" w:eastAsia="仿宋_GB2312" w:cs="Times New Roman"/>
          <w:bCs/>
          <w:sz w:val="32"/>
          <w:szCs w:val="32"/>
          <w:highlight w:val="none"/>
          <w:u w:val="none"/>
          <w:lang w:eastAsia="zh-CN"/>
        </w:rPr>
        <w:t>同时符合下列情形的行业领域，在本年度“双随机”抽查时，减少抽查频次：</w:t>
      </w:r>
    </w:p>
    <w:p>
      <w:pPr>
        <w:pStyle w:val="2"/>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lang w:val="en-US" w:eastAsia="zh-CN"/>
        </w:rPr>
      </w:pPr>
      <w:r>
        <w:rPr>
          <w:rFonts w:hint="eastAsia" w:ascii="仿宋_GB2312" w:hAnsi="仿宋_GB2312" w:eastAsia="仿宋_GB2312" w:cs="仿宋_GB2312"/>
          <w:b w:val="0"/>
          <w:bCs/>
          <w:kern w:val="2"/>
          <w:sz w:val="32"/>
          <w:szCs w:val="32"/>
          <w:highlight w:val="none"/>
          <w:u w:val="none"/>
          <w:lang w:val="en-US" w:eastAsia="zh-CN" w:bidi="ar-SA"/>
        </w:rPr>
        <w:t>1.属于一般监管行业领域，而非重点监管行业领域；</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2.商务领域法定抽查事项的法律责任规定最高不超过罚款3万元；</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3.在上一年度“双随机”抽查、专项检查（包括根据投诉举报、上级交办、其他机关移送等案件线索或者专项整治而开展的检查）时，未发现该行业领域</w:t>
      </w:r>
      <w:r>
        <w:rPr>
          <w:rFonts w:hint="eastAsia" w:ascii="Times New Roman" w:hAnsi="Times New Roman" w:eastAsia="仿宋_GB2312" w:cs="Times New Roman"/>
          <w:bCs/>
          <w:sz w:val="32"/>
          <w:szCs w:val="32"/>
          <w:highlight w:val="none"/>
          <w:u w:val="none"/>
          <w:lang w:eastAsia="zh-CN"/>
        </w:rPr>
        <w:t>相关</w:t>
      </w:r>
      <w:r>
        <w:rPr>
          <w:rFonts w:hint="eastAsia" w:ascii="仿宋_GB2312" w:hAnsi="仿宋_GB2312" w:eastAsia="仿宋_GB2312" w:cs="仿宋_GB2312"/>
          <w:b w:val="0"/>
          <w:bCs/>
          <w:kern w:val="2"/>
          <w:sz w:val="32"/>
          <w:szCs w:val="32"/>
          <w:highlight w:val="none"/>
          <w:u w:val="none"/>
          <w:lang w:val="en-US" w:eastAsia="zh-CN" w:bidi="ar-SA"/>
        </w:rPr>
        <w:t>市场主体因违反商务领域有关法律法规而被给予行政处罚。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b w:val="0"/>
          <w:bCs/>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属于上述被减少抽查频次的行业领域，每年开展“双随机”抽查的频次不得低于1次；法律、法规、规章或有关文件对抽查最低频次有特殊规定的，遵照实施。</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Times New Roman" w:hAnsi="Times New Roman" w:eastAsia="仿宋_GB2312" w:cs="Times New Roman"/>
          <w:bCs/>
          <w:sz w:val="32"/>
          <w:szCs w:val="32"/>
          <w:highlight w:val="none"/>
          <w:u w:val="none"/>
          <w:lang w:eastAsia="zh-CN"/>
        </w:rPr>
      </w:pPr>
      <w:r>
        <w:rPr>
          <w:rFonts w:hint="eastAsia" w:ascii="Times New Roman" w:hAnsi="Times New Roman" w:eastAsia="仿宋_GB2312" w:cs="Times New Roman"/>
          <w:bCs/>
          <w:sz w:val="32"/>
          <w:szCs w:val="32"/>
          <w:highlight w:val="none"/>
          <w:u w:val="none"/>
        </w:rPr>
        <w:t>对于适用本清单的</w:t>
      </w:r>
      <w:r>
        <w:rPr>
          <w:rFonts w:hint="eastAsia" w:ascii="Times New Roman" w:hAnsi="Times New Roman" w:eastAsia="仿宋_GB2312" w:cs="Times New Roman"/>
          <w:bCs/>
          <w:sz w:val="32"/>
          <w:szCs w:val="32"/>
          <w:highlight w:val="none"/>
          <w:u w:val="none"/>
          <w:lang w:eastAsia="zh-CN"/>
        </w:rPr>
        <w:t>行业领域或相关市场主体，市商务局将加大法律法规的宣传和业务指导；有关商协会要切实发挥对相关市场主体约束和指导作用；相关市场主体要严格遵守有关法律法规，履行主任责任，依法开展经营活动。</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pPr>
      <w:r>
        <w:rPr>
          <w:rFonts w:hint="eastAsia" w:ascii="仿宋_GB2312" w:hAnsi="仿宋_GB2312" w:eastAsia="仿宋_GB2312" w:cs="仿宋_GB2312"/>
          <w:b w:val="0"/>
          <w:bCs/>
          <w:kern w:val="2"/>
          <w:sz w:val="32"/>
          <w:szCs w:val="32"/>
          <w:highlight w:val="none"/>
          <w:u w:val="none"/>
          <w:lang w:val="en-US" w:eastAsia="zh-CN" w:bidi="ar-SA"/>
        </w:rPr>
        <w:t xml:space="preserve">本清单自2021年 月 </w:t>
      </w:r>
      <w:bookmarkStart w:id="0" w:name="_GoBack"/>
      <w:bookmarkEnd w:id="0"/>
      <w:r>
        <w:rPr>
          <w:rFonts w:hint="eastAsia" w:ascii="仿宋_GB2312" w:hAnsi="仿宋_GB2312" w:eastAsia="仿宋_GB2312" w:cs="仿宋_GB2312"/>
          <w:b w:val="0"/>
          <w:bCs/>
          <w:kern w:val="2"/>
          <w:sz w:val="32"/>
          <w:szCs w:val="32"/>
          <w:highlight w:val="none"/>
          <w:u w:val="none"/>
          <w:lang w:val="en-US" w:eastAsia="zh-CN" w:bidi="ar-SA"/>
        </w:rPr>
        <w:t>日起实施。</w:t>
      </w:r>
    </w:p>
    <w:p/>
    <w:sectPr>
      <w:footerReference r:id="rId3" w:type="default"/>
      <w:footerReference r:id="rId4" w:type="even"/>
      <w:pgSz w:w="11906" w:h="16838"/>
      <w:pgMar w:top="2098" w:right="1588" w:bottom="2098" w:left="1588" w:header="851" w:footer="850"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5062220</wp:posOffset>
              </wp:positionH>
              <wp:positionV relativeFrom="paragraph">
                <wp:posOffset>-117475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398.6pt;margin-top:-9.25pt;height:144pt;width:144pt;mso-position-horizontal-relative:margin;mso-wrap-style:none;z-index:251659264;mso-width-relative:page;mso-height-relative:page;" filled="f" stroked="f" coordsize="21600,21600" o:gfxdata="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HK6SRjaAAAADAEAAA8AAAAAAAAAAQAgAAAAOAAAAGRycy9kb3ducmV2Lnht&#10;bFBLAQIUABQAAAAIAIdO4kAenpu/GgIAACcEAAAOAAAAAAAAAAEAIAAAAD8BAABkcnMvZTJvRG9j&#10;LnhtbFBLBQYAAAAABgAGAFkBAADL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102235</wp:posOffset>
              </wp:positionH>
              <wp:positionV relativeFrom="paragraph">
                <wp:posOffset>-124460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8.05pt;margin-top:-9.8pt;height:144pt;width:144pt;mso-position-horizontal-relative:margin;mso-wrap-style:none;z-index:251660288;mso-width-relative:page;mso-height-relative:page;" filled="f" stroked="f" coordsize="21600,21600" o:gfxdata="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1cCCNcAAAAKAQAADwAAAAAAAAABACAAAAA4AAAAZHJzL2Rvd25y&#10;ZXYueG1sUEsBAhQAFAAAAAgAh07iQO72CokiAgAANwQAAA4AAAAAAAAAAQAgAAAAPAEAAGRycy9l&#10;Mm9Eb2MueG1sUEsFBgAAAAAGAAYAWQEAANA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66C87"/>
    <w:rsid w:val="1FDF19C0"/>
    <w:rsid w:val="23864D25"/>
    <w:rsid w:val="2EEB6BB9"/>
    <w:rsid w:val="359F1261"/>
    <w:rsid w:val="37B64C01"/>
    <w:rsid w:val="396D7C1C"/>
    <w:rsid w:val="3AFFB833"/>
    <w:rsid w:val="3B79C15F"/>
    <w:rsid w:val="3C54B9D1"/>
    <w:rsid w:val="3CACD52F"/>
    <w:rsid w:val="3DFFFE83"/>
    <w:rsid w:val="3EAB0813"/>
    <w:rsid w:val="3FF9FB32"/>
    <w:rsid w:val="426B5187"/>
    <w:rsid w:val="46DD2DA9"/>
    <w:rsid w:val="4B9C0CE4"/>
    <w:rsid w:val="4BFDA6BD"/>
    <w:rsid w:val="57FF7ABA"/>
    <w:rsid w:val="5BFF54C1"/>
    <w:rsid w:val="5DDA67C9"/>
    <w:rsid w:val="5E6D0786"/>
    <w:rsid w:val="5F7FB967"/>
    <w:rsid w:val="5FF776D3"/>
    <w:rsid w:val="61F858E5"/>
    <w:rsid w:val="647CDD6B"/>
    <w:rsid w:val="6635D34B"/>
    <w:rsid w:val="6BFCD76B"/>
    <w:rsid w:val="6F73807C"/>
    <w:rsid w:val="6FDB4A09"/>
    <w:rsid w:val="72BF7905"/>
    <w:rsid w:val="73DBD608"/>
    <w:rsid w:val="77777621"/>
    <w:rsid w:val="77B3F88F"/>
    <w:rsid w:val="77DD552A"/>
    <w:rsid w:val="77F8C6D4"/>
    <w:rsid w:val="78EF6EAD"/>
    <w:rsid w:val="7BCBD9C5"/>
    <w:rsid w:val="7DEB9CDF"/>
    <w:rsid w:val="7DFFED65"/>
    <w:rsid w:val="7E7C41E2"/>
    <w:rsid w:val="7EBF558D"/>
    <w:rsid w:val="7F3BC35B"/>
    <w:rsid w:val="7F4F3E8F"/>
    <w:rsid w:val="7F791F4A"/>
    <w:rsid w:val="7FBF1047"/>
    <w:rsid w:val="9BEF6888"/>
    <w:rsid w:val="9FFBC1FA"/>
    <w:rsid w:val="AD1FACCE"/>
    <w:rsid w:val="AFFF7777"/>
    <w:rsid w:val="B5FBEACF"/>
    <w:rsid w:val="B7DDFBFF"/>
    <w:rsid w:val="BF95CAAA"/>
    <w:rsid w:val="BFB985FF"/>
    <w:rsid w:val="BFFD310F"/>
    <w:rsid w:val="C99F4D78"/>
    <w:rsid w:val="CEBF0C4C"/>
    <w:rsid w:val="CEBFE609"/>
    <w:rsid w:val="CFBF981F"/>
    <w:rsid w:val="CFDEBB99"/>
    <w:rsid w:val="D30704FD"/>
    <w:rsid w:val="D4FF5C74"/>
    <w:rsid w:val="D5CC4154"/>
    <w:rsid w:val="D97F5BE0"/>
    <w:rsid w:val="DB65ED24"/>
    <w:rsid w:val="DCEE0CB8"/>
    <w:rsid w:val="DCFDDC2A"/>
    <w:rsid w:val="DDEBF7B6"/>
    <w:rsid w:val="DF783CD8"/>
    <w:rsid w:val="DFBDD415"/>
    <w:rsid w:val="DFDF7CD4"/>
    <w:rsid w:val="DFFB26B5"/>
    <w:rsid w:val="DFFE8B06"/>
    <w:rsid w:val="EBB8598C"/>
    <w:rsid w:val="EDEFD6C7"/>
    <w:rsid w:val="EF7BFACF"/>
    <w:rsid w:val="EF7E3CAE"/>
    <w:rsid w:val="F2C361B1"/>
    <w:rsid w:val="F2DF36DA"/>
    <w:rsid w:val="F5FD251F"/>
    <w:rsid w:val="F7B68415"/>
    <w:rsid w:val="F9FEA285"/>
    <w:rsid w:val="FA669315"/>
    <w:rsid w:val="FADC6691"/>
    <w:rsid w:val="FAFFD67B"/>
    <w:rsid w:val="FB67D0B2"/>
    <w:rsid w:val="FBFF5C15"/>
    <w:rsid w:val="FD079149"/>
    <w:rsid w:val="FD7B8942"/>
    <w:rsid w:val="FE9FBF63"/>
    <w:rsid w:val="FEBF716C"/>
    <w:rsid w:val="FECCEB1E"/>
    <w:rsid w:val="FECFAAC6"/>
    <w:rsid w:val="FF0FC26F"/>
    <w:rsid w:val="FF7FA617"/>
    <w:rsid w:val="FFDFF4E9"/>
    <w:rsid w:val="FFFF8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 w:eastAsia="楷体"/>
      <w:b/>
      <w:sz w:val="24"/>
    </w:rPr>
  </w:style>
  <w:style w:type="paragraph" w:styleId="3">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swj</cp:lastModifiedBy>
  <dcterms:modified xsi:type="dcterms:W3CDTF">2021-07-09T16:18:43Z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