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val="0"/>
        <w:snapToGrid w:val="0"/>
        <w:spacing w:line="640" w:lineRule="exact"/>
        <w:ind w:right="0"/>
        <w:jc w:val="both"/>
        <w:textAlignment w:val="auto"/>
        <w:rPr>
          <w:rFonts w:hint="eastAsia" w:hAnsi="仿宋_GB2312" w:cs="仿宋_GB2312"/>
          <w:b w:val="0"/>
          <w:bCs w:val="0"/>
          <w:spacing w:val="-6"/>
          <w:w w:val="100"/>
          <w:kern w:val="0"/>
          <w:sz w:val="32"/>
          <w:szCs w:val="32"/>
          <w:lang w:val="en-US" w:eastAsia="zh-CN"/>
        </w:rPr>
      </w:pPr>
      <w:bookmarkStart w:id="0" w:name="_GoBack"/>
      <w:bookmarkEnd w:id="0"/>
      <w:r>
        <w:rPr>
          <w:rFonts w:hint="eastAsia" w:hAnsi="仿宋_GB2312" w:cs="仿宋_GB2312"/>
          <w:b w:val="0"/>
          <w:bCs w:val="0"/>
          <w:spacing w:val="-6"/>
          <w:w w:val="100"/>
          <w:kern w:val="0"/>
          <w:sz w:val="32"/>
          <w:szCs w:val="32"/>
          <w:lang w:val="en-US" w:eastAsia="zh-CN"/>
        </w:rPr>
        <w:t>附件</w:t>
      </w:r>
    </w:p>
    <w:p>
      <w:pPr>
        <w:keepNext w:val="0"/>
        <w:keepLines w:val="0"/>
        <w:pageBreakBefore w:val="0"/>
        <w:widowControl w:val="0"/>
        <w:kinsoku/>
        <w:overflowPunct/>
        <w:topLinePunct w:val="0"/>
        <w:autoSpaceDE/>
        <w:autoSpaceDN/>
        <w:bidi w:val="0"/>
        <w:adjustRightInd w:val="0"/>
        <w:snapToGrid w:val="0"/>
        <w:spacing w:line="640" w:lineRule="exact"/>
        <w:ind w:right="0"/>
        <w:jc w:val="both"/>
        <w:textAlignment w:val="auto"/>
        <w:rPr>
          <w:rFonts w:hint="eastAsia" w:ascii="仿宋_GB2312" w:hAnsi="仿宋_GB2312" w:eastAsia="仿宋_GB2312" w:cs="仿宋_GB2312"/>
          <w:b w:val="0"/>
          <w:bCs w:val="0"/>
          <w:spacing w:val="-6"/>
          <w:w w:val="100"/>
          <w:kern w:val="0"/>
          <w:sz w:val="32"/>
          <w:szCs w:val="32"/>
          <w:lang w:val="en-US" w:eastAsia="zh-CN"/>
        </w:rPr>
      </w:pPr>
    </w:p>
    <w:p>
      <w:pPr>
        <w:keepNext w:val="0"/>
        <w:keepLines w:val="0"/>
        <w:pageBreakBefore w:val="0"/>
        <w:widowControl w:val="0"/>
        <w:kinsoku/>
        <w:overflowPunct/>
        <w:topLinePunct w:val="0"/>
        <w:autoSpaceDE/>
        <w:autoSpaceDN/>
        <w:bidi w:val="0"/>
        <w:adjustRightInd w:val="0"/>
        <w:snapToGrid w:val="0"/>
        <w:spacing w:line="640" w:lineRule="exact"/>
        <w:ind w:right="0"/>
        <w:jc w:val="center"/>
        <w:textAlignment w:val="auto"/>
        <w:rPr>
          <w:rFonts w:hint="eastAsia" w:ascii="方正小标宋简体" w:hAnsi="方正小标宋简体" w:eastAsia="方正小标宋简体" w:cs="方正小标宋简体"/>
          <w:b/>
          <w:bCs/>
          <w:spacing w:val="-6"/>
          <w:w w:val="100"/>
          <w:kern w:val="0"/>
          <w:sz w:val="44"/>
          <w:szCs w:val="44"/>
          <w:lang w:eastAsia="zh-CN"/>
        </w:rPr>
      </w:pPr>
      <w:r>
        <w:rPr>
          <w:rFonts w:hint="eastAsia" w:ascii="方正小标宋简体" w:hAnsi="方正小标宋简体" w:eastAsia="方正小标宋简体" w:cs="方正小标宋简体"/>
          <w:b/>
          <w:bCs/>
          <w:spacing w:val="-6"/>
          <w:w w:val="100"/>
          <w:kern w:val="0"/>
          <w:sz w:val="44"/>
          <w:szCs w:val="44"/>
          <w:lang w:eastAsia="zh-CN"/>
        </w:rPr>
        <w:t>关于总部经济扶持政策的若干补充意见</w:t>
      </w:r>
    </w:p>
    <w:p>
      <w:pPr>
        <w:keepNext w:val="0"/>
        <w:keepLines w:val="0"/>
        <w:pageBreakBefore w:val="0"/>
        <w:widowControl w:val="0"/>
        <w:suppressLineNumbers w:val="0"/>
        <w:kinsoku/>
        <w:wordWrap/>
        <w:overflowPunct/>
        <w:topLinePunct w:val="0"/>
        <w:autoSpaceDE/>
        <w:autoSpaceDN/>
        <w:bidi w:val="0"/>
        <w:adjustRightInd w:val="0"/>
        <w:snapToGrid w:val="0"/>
        <w:spacing w:line="640" w:lineRule="exact"/>
        <w:ind w:left="0" w:leftChars="0" w:right="0" w:rightChars="0" w:firstLine="616" w:firstLineChars="200"/>
        <w:contextualSpacing/>
        <w:jc w:val="both"/>
        <w:textAlignment w:val="auto"/>
        <w:outlineLvl w:val="9"/>
        <w:rPr>
          <w:rFonts w:hint="eastAsia" w:ascii="Times New Roman" w:cs="Times New Roman"/>
          <w:color w:val="auto"/>
          <w:spacing w:val="-6"/>
          <w:w w:val="100"/>
          <w:kern w:val="0"/>
          <w:sz w:val="32"/>
          <w:szCs w:val="32"/>
          <w:lang w:val="en-US" w:eastAsia="zh-CN"/>
        </w:rPr>
      </w:pPr>
      <w:r>
        <w:rPr>
          <w:rFonts w:hint="eastAsia" w:ascii="Times New Roman" w:cs="Times New Roman"/>
          <w:color w:val="auto"/>
          <w:spacing w:val="-6"/>
          <w:w w:val="100"/>
          <w:kern w:val="0"/>
          <w:sz w:val="32"/>
          <w:szCs w:val="32"/>
          <w:lang w:val="en-US" w:eastAsia="zh-CN"/>
        </w:rPr>
        <w:t xml:space="preserve">                （征求意见稿）</w:t>
      </w:r>
    </w:p>
    <w:p>
      <w:pPr>
        <w:keepNext w:val="0"/>
        <w:keepLines w:val="0"/>
        <w:pageBreakBefore w:val="0"/>
        <w:widowControl w:val="0"/>
        <w:suppressLineNumbers w:val="0"/>
        <w:kinsoku/>
        <w:wordWrap/>
        <w:overflowPunct/>
        <w:topLinePunct w:val="0"/>
        <w:autoSpaceDE/>
        <w:autoSpaceDN/>
        <w:bidi w:val="0"/>
        <w:adjustRightInd w:val="0"/>
        <w:snapToGrid w:val="0"/>
        <w:spacing w:line="640" w:lineRule="exact"/>
        <w:ind w:left="0" w:leftChars="0" w:right="0" w:rightChars="0" w:firstLine="616" w:firstLineChars="200"/>
        <w:contextualSpacing/>
        <w:jc w:val="both"/>
        <w:textAlignment w:val="auto"/>
        <w:outlineLvl w:val="9"/>
        <w:rPr>
          <w:rFonts w:hint="default" w:ascii="Times New Roman" w:cs="Times New Roman"/>
          <w:color w:val="auto"/>
          <w:spacing w:val="-6"/>
          <w:w w:val="100"/>
          <w:kern w:val="0"/>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line="640" w:lineRule="exact"/>
        <w:ind w:left="0" w:leftChars="0" w:right="0" w:rightChars="0" w:firstLine="616" w:firstLineChars="200"/>
        <w:contextualSpacing/>
        <w:jc w:val="both"/>
        <w:textAlignment w:val="auto"/>
        <w:outlineLvl w:val="9"/>
        <w:rPr>
          <w:rFonts w:hint="eastAsia" w:ascii="仿宋_GB2312" w:hAnsi="仿宋_GB2312" w:eastAsia="仿宋_GB2312" w:cs="仿宋_GB2312"/>
          <w:b w:val="0"/>
          <w:bCs w:val="0"/>
          <w:color w:val="auto"/>
          <w:spacing w:val="-6"/>
          <w:w w:val="100"/>
          <w:kern w:val="0"/>
          <w:sz w:val="32"/>
          <w:szCs w:val="32"/>
        </w:rPr>
      </w:pPr>
      <w:r>
        <w:rPr>
          <w:rFonts w:hint="eastAsia" w:ascii="仿宋_GB2312" w:hAnsi="仿宋_GB2312" w:eastAsia="仿宋_GB2312" w:cs="仿宋_GB2312"/>
          <w:b w:val="0"/>
          <w:bCs w:val="0"/>
          <w:color w:val="auto"/>
          <w:spacing w:val="-6"/>
          <w:w w:val="100"/>
          <w:kern w:val="0"/>
          <w:sz w:val="32"/>
          <w:szCs w:val="32"/>
          <w:lang w:val="en-US" w:eastAsia="zh-CN"/>
        </w:rPr>
        <w:t>根据《中山市人民政府关于进一步鼓励发展总部经济的若干意见》</w:t>
      </w:r>
      <w:r>
        <w:rPr>
          <w:rFonts w:hint="eastAsia" w:hAnsi="仿宋_GB2312" w:cs="仿宋_GB2312"/>
          <w:b w:val="0"/>
          <w:bCs w:val="0"/>
          <w:color w:val="auto"/>
          <w:spacing w:val="-6"/>
          <w:w w:val="100"/>
          <w:kern w:val="0"/>
          <w:sz w:val="32"/>
          <w:szCs w:val="32"/>
          <w:lang w:val="en-US" w:eastAsia="zh-CN"/>
        </w:rPr>
        <w:t>（以下简称《若干意见》）</w:t>
      </w:r>
      <w:r>
        <w:rPr>
          <w:rFonts w:hint="eastAsia" w:ascii="仿宋_GB2312" w:hAnsi="仿宋_GB2312" w:eastAsia="仿宋_GB2312" w:cs="仿宋_GB2312"/>
          <w:b w:val="0"/>
          <w:bCs w:val="0"/>
          <w:color w:val="auto"/>
          <w:spacing w:val="-6"/>
          <w:w w:val="100"/>
          <w:kern w:val="0"/>
          <w:sz w:val="32"/>
          <w:szCs w:val="32"/>
          <w:lang w:val="en-US" w:eastAsia="zh-CN"/>
        </w:rPr>
        <w:t>（中府〔2019〕118号）、</w:t>
      </w:r>
      <w:r>
        <w:rPr>
          <w:rFonts w:hint="eastAsia" w:ascii="仿宋_GB2312" w:hAnsi="仿宋_GB2312" w:eastAsia="仿宋_GB2312" w:cs="仿宋_GB2312"/>
          <w:b w:val="0"/>
          <w:bCs w:val="0"/>
          <w:spacing w:val="-6"/>
          <w:w w:val="100"/>
          <w:kern w:val="0"/>
          <w:sz w:val="32"/>
          <w:szCs w:val="32"/>
          <w:lang w:val="en-US" w:eastAsia="zh-CN"/>
        </w:rPr>
        <w:t>《中山市鼓励发展总部经济实施细则》</w:t>
      </w:r>
      <w:r>
        <w:rPr>
          <w:rFonts w:hint="eastAsia" w:hAnsi="仿宋_GB2312" w:cs="仿宋_GB2312"/>
          <w:b w:val="0"/>
          <w:bCs w:val="0"/>
          <w:color w:val="auto"/>
          <w:spacing w:val="-6"/>
          <w:w w:val="100"/>
          <w:kern w:val="0"/>
          <w:sz w:val="32"/>
          <w:szCs w:val="32"/>
          <w:lang w:val="en-US" w:eastAsia="zh-CN"/>
        </w:rPr>
        <w:t>（以下简称《实施细则》）</w:t>
      </w:r>
      <w:r>
        <w:rPr>
          <w:rFonts w:hint="eastAsia" w:ascii="仿宋_GB2312" w:hAnsi="仿宋_GB2312" w:eastAsia="仿宋_GB2312" w:cs="仿宋_GB2312"/>
          <w:b w:val="0"/>
          <w:bCs w:val="0"/>
          <w:spacing w:val="-6"/>
          <w:w w:val="100"/>
          <w:kern w:val="0"/>
          <w:sz w:val="32"/>
          <w:szCs w:val="32"/>
          <w:lang w:val="en-US" w:eastAsia="zh-CN"/>
        </w:rPr>
        <w:t>（中府办〔2020〕21号）</w:t>
      </w:r>
      <w:r>
        <w:rPr>
          <w:rFonts w:hint="eastAsia" w:ascii="仿宋_GB2312" w:hAnsi="仿宋_GB2312" w:eastAsia="仿宋_GB2312" w:cs="仿宋_GB2312"/>
          <w:b w:val="0"/>
          <w:bCs w:val="0"/>
          <w:color w:val="auto"/>
          <w:spacing w:val="-6"/>
          <w:w w:val="100"/>
          <w:kern w:val="0"/>
          <w:sz w:val="32"/>
          <w:szCs w:val="32"/>
          <w:lang w:val="en-US" w:eastAsia="zh-CN"/>
        </w:rPr>
        <w:t>实施情况，</w:t>
      </w:r>
      <w:r>
        <w:rPr>
          <w:rFonts w:hint="eastAsia" w:ascii="仿宋_GB2312" w:hAnsi="仿宋_GB2312" w:eastAsia="仿宋_GB2312" w:cs="仿宋_GB2312"/>
          <w:b w:val="0"/>
          <w:bCs w:val="0"/>
          <w:color w:val="auto"/>
          <w:spacing w:val="-6"/>
          <w:w w:val="100"/>
          <w:kern w:val="0"/>
          <w:sz w:val="32"/>
          <w:szCs w:val="32"/>
        </w:rPr>
        <w:t>为</w:t>
      </w:r>
      <w:r>
        <w:rPr>
          <w:rFonts w:hint="eastAsia" w:ascii="仿宋_GB2312" w:hAnsi="仿宋_GB2312" w:eastAsia="仿宋_GB2312" w:cs="仿宋_GB2312"/>
          <w:b w:val="0"/>
          <w:bCs w:val="0"/>
          <w:color w:val="auto"/>
          <w:spacing w:val="-6"/>
          <w:w w:val="100"/>
          <w:kern w:val="0"/>
          <w:sz w:val="32"/>
          <w:szCs w:val="32"/>
          <w:lang w:eastAsia="zh-CN"/>
        </w:rPr>
        <w:t>进一步</w:t>
      </w:r>
      <w:r>
        <w:rPr>
          <w:rFonts w:hint="eastAsia" w:hAnsi="仿宋_GB2312" w:cs="仿宋_GB2312"/>
          <w:b w:val="0"/>
          <w:bCs w:val="0"/>
          <w:i w:val="0"/>
          <w:caps w:val="0"/>
          <w:color w:val="auto"/>
          <w:spacing w:val="0"/>
          <w:sz w:val="32"/>
          <w:szCs w:val="32"/>
          <w:lang w:eastAsia="zh-CN"/>
        </w:rPr>
        <w:t>鼓励</w:t>
      </w:r>
      <w:r>
        <w:rPr>
          <w:rFonts w:hint="eastAsia" w:ascii="仿宋_GB2312" w:hAnsi="仿宋_GB2312" w:eastAsia="仿宋_GB2312" w:cs="仿宋_GB2312"/>
          <w:b w:val="0"/>
          <w:bCs w:val="0"/>
          <w:color w:val="auto"/>
          <w:spacing w:val="-6"/>
          <w:w w:val="100"/>
          <w:kern w:val="0"/>
          <w:sz w:val="32"/>
          <w:szCs w:val="32"/>
        </w:rPr>
        <w:t>我市总部</w:t>
      </w:r>
      <w:r>
        <w:rPr>
          <w:rFonts w:hint="eastAsia" w:hAnsi="仿宋_GB2312" w:cs="仿宋_GB2312"/>
          <w:b w:val="0"/>
          <w:bCs w:val="0"/>
          <w:color w:val="auto"/>
          <w:spacing w:val="-6"/>
          <w:w w:val="100"/>
          <w:kern w:val="0"/>
          <w:sz w:val="32"/>
          <w:szCs w:val="32"/>
          <w:lang w:eastAsia="zh-CN"/>
        </w:rPr>
        <w:t>企业做大做强、高质量</w:t>
      </w:r>
      <w:r>
        <w:rPr>
          <w:rFonts w:hint="eastAsia" w:ascii="仿宋_GB2312" w:hAnsi="仿宋_GB2312" w:eastAsia="仿宋_GB2312" w:cs="仿宋_GB2312"/>
          <w:b w:val="0"/>
          <w:bCs w:val="0"/>
          <w:color w:val="auto"/>
          <w:spacing w:val="-6"/>
          <w:w w:val="100"/>
          <w:kern w:val="0"/>
          <w:sz w:val="32"/>
          <w:szCs w:val="32"/>
        </w:rPr>
        <w:t>发展，</w:t>
      </w:r>
      <w:r>
        <w:rPr>
          <w:rFonts w:hint="eastAsia" w:ascii="仿宋_GB2312" w:hAnsi="仿宋_GB2312" w:eastAsia="仿宋_GB2312" w:cs="仿宋_GB2312"/>
          <w:b w:val="0"/>
          <w:bCs w:val="0"/>
          <w:i w:val="0"/>
          <w:caps w:val="0"/>
          <w:color w:val="auto"/>
          <w:spacing w:val="0"/>
          <w:sz w:val="32"/>
          <w:szCs w:val="32"/>
        </w:rPr>
        <w:t>现就</w:t>
      </w:r>
      <w:r>
        <w:rPr>
          <w:rFonts w:hint="eastAsia" w:hAnsi="仿宋_GB2312" w:cs="仿宋_GB2312"/>
          <w:b w:val="0"/>
          <w:bCs w:val="0"/>
          <w:color w:val="auto"/>
          <w:spacing w:val="-6"/>
          <w:w w:val="100"/>
          <w:kern w:val="0"/>
          <w:sz w:val="32"/>
          <w:szCs w:val="32"/>
          <w:lang w:eastAsia="zh-CN"/>
        </w:rPr>
        <w:t>促进</w:t>
      </w:r>
      <w:r>
        <w:rPr>
          <w:rFonts w:hint="eastAsia" w:hAnsi="仿宋_GB2312" w:cs="仿宋_GB2312"/>
          <w:b w:val="0"/>
          <w:bCs w:val="0"/>
          <w:i w:val="0"/>
          <w:caps w:val="0"/>
          <w:color w:val="auto"/>
          <w:spacing w:val="0"/>
          <w:sz w:val="32"/>
          <w:szCs w:val="32"/>
          <w:lang w:eastAsia="zh-CN"/>
        </w:rPr>
        <w:t>总部经济加快发展提出</w:t>
      </w:r>
      <w:r>
        <w:rPr>
          <w:rFonts w:hint="eastAsia" w:ascii="仿宋_GB2312" w:hAnsi="仿宋_GB2312" w:eastAsia="仿宋_GB2312" w:cs="仿宋_GB2312"/>
          <w:b w:val="0"/>
          <w:bCs w:val="0"/>
          <w:i w:val="0"/>
          <w:caps w:val="0"/>
          <w:color w:val="auto"/>
          <w:spacing w:val="0"/>
          <w:sz w:val="32"/>
          <w:szCs w:val="32"/>
        </w:rPr>
        <w:t>如下补充</w:t>
      </w:r>
      <w:r>
        <w:rPr>
          <w:rFonts w:hint="eastAsia" w:hAnsi="仿宋_GB2312" w:cs="仿宋_GB2312"/>
          <w:b w:val="0"/>
          <w:bCs w:val="0"/>
          <w:i w:val="0"/>
          <w:caps w:val="0"/>
          <w:color w:val="auto"/>
          <w:spacing w:val="0"/>
          <w:sz w:val="32"/>
          <w:szCs w:val="32"/>
          <w:lang w:eastAsia="zh-CN"/>
        </w:rPr>
        <w:t>意见</w:t>
      </w:r>
      <w:r>
        <w:rPr>
          <w:rFonts w:hint="eastAsia" w:ascii="仿宋_GB2312" w:hAnsi="仿宋_GB2312" w:eastAsia="仿宋_GB2312" w:cs="仿宋_GB2312"/>
          <w:b w:val="0"/>
          <w:bCs w:val="0"/>
          <w:i w:val="0"/>
          <w:caps w:val="0"/>
          <w:color w:val="auto"/>
          <w:spacing w:val="0"/>
          <w:sz w:val="32"/>
          <w:szCs w:val="32"/>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640" w:lineRule="exact"/>
        <w:ind w:leftChars="0" w:right="0" w:rightChars="0" w:firstLine="616" w:firstLineChars="200"/>
        <w:contextualSpacing/>
        <w:jc w:val="both"/>
        <w:textAlignment w:val="auto"/>
        <w:outlineLvl w:val="9"/>
        <w:rPr>
          <w:rFonts w:hint="eastAsia" w:ascii="黑体" w:hAnsi="黑体" w:eastAsia="黑体" w:cs="黑体"/>
          <w:spacing w:val="-6"/>
          <w:w w:val="100"/>
          <w:kern w:val="0"/>
          <w:sz w:val="32"/>
          <w:szCs w:val="32"/>
          <w:lang w:val="en-US" w:eastAsia="zh-CN"/>
        </w:rPr>
      </w:pPr>
      <w:r>
        <w:rPr>
          <w:rFonts w:hint="eastAsia" w:ascii="黑体" w:hAnsi="黑体" w:eastAsia="黑体" w:cs="黑体"/>
          <w:spacing w:val="-6"/>
          <w:w w:val="100"/>
          <w:kern w:val="0"/>
          <w:sz w:val="32"/>
          <w:szCs w:val="32"/>
          <w:lang w:val="en-US" w:eastAsia="zh-CN"/>
        </w:rPr>
        <w:t>一、调整建筑业总部企业认定资质标准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640" w:lineRule="exact"/>
        <w:ind w:leftChars="0" w:right="0" w:rightChars="0" w:firstLine="616" w:firstLineChars="200"/>
        <w:contextualSpacing/>
        <w:jc w:val="both"/>
        <w:textAlignment w:val="auto"/>
        <w:outlineLvl w:val="9"/>
        <w:rPr>
          <w:rFonts w:hint="eastAsia" w:ascii="仿宋_GB2312" w:hAnsi="仿宋_GB2312" w:eastAsia="仿宋_GB2312" w:cs="仿宋_GB2312"/>
          <w:spacing w:val="-6"/>
          <w:w w:val="100"/>
          <w:kern w:val="0"/>
          <w:sz w:val="32"/>
          <w:szCs w:val="32"/>
          <w:lang w:val="en-US" w:eastAsia="zh-CN"/>
        </w:rPr>
      </w:pPr>
      <w:r>
        <w:rPr>
          <w:rFonts w:hint="eastAsia" w:ascii="仿宋_GB2312" w:hAnsi="仿宋_GB2312" w:eastAsia="仿宋_GB2312" w:cs="仿宋_GB2312"/>
          <w:spacing w:val="-6"/>
          <w:w w:val="100"/>
          <w:kern w:val="0"/>
          <w:sz w:val="32"/>
          <w:szCs w:val="32"/>
          <w:lang w:val="en-US" w:eastAsia="zh-CN"/>
        </w:rPr>
        <w:t>对《</w:t>
      </w:r>
      <w:r>
        <w:rPr>
          <w:rFonts w:hint="eastAsia" w:hAnsi="仿宋_GB2312" w:cs="仿宋_GB2312"/>
          <w:spacing w:val="-6"/>
          <w:w w:val="100"/>
          <w:kern w:val="0"/>
          <w:sz w:val="32"/>
          <w:szCs w:val="32"/>
          <w:lang w:val="en-US" w:eastAsia="zh-CN"/>
        </w:rPr>
        <w:t>若干</w:t>
      </w:r>
      <w:r>
        <w:rPr>
          <w:rFonts w:hint="eastAsia" w:ascii="仿宋_GB2312" w:hAnsi="仿宋_GB2312" w:eastAsia="仿宋_GB2312" w:cs="仿宋_GB2312"/>
          <w:spacing w:val="-6"/>
          <w:w w:val="100"/>
          <w:kern w:val="0"/>
          <w:sz w:val="32"/>
          <w:szCs w:val="32"/>
          <w:lang w:val="en-US" w:eastAsia="zh-CN"/>
        </w:rPr>
        <w:t>意见》第三部分“总部企业认定条件”第（二）点“认定条件”的“（6）建筑业总部企业”</w:t>
      </w:r>
      <w:r>
        <w:commentReference w:id="0"/>
      </w:r>
      <w:r>
        <w:rPr>
          <w:rFonts w:hint="eastAsia" w:ascii="仿宋_GB2312" w:hAnsi="仿宋_GB2312" w:eastAsia="仿宋_GB2312" w:cs="仿宋_GB2312"/>
          <w:spacing w:val="-6"/>
          <w:w w:val="100"/>
          <w:kern w:val="0"/>
          <w:sz w:val="32"/>
          <w:szCs w:val="32"/>
          <w:lang w:val="en-US" w:eastAsia="zh-CN"/>
        </w:rPr>
        <w:t>进行修订</w:t>
      </w:r>
      <w:r>
        <w:rPr>
          <w:rFonts w:hint="eastAsia" w:hAnsi="仿宋_GB2312" w:cs="仿宋_GB2312"/>
          <w:spacing w:val="-6"/>
          <w:w w:val="100"/>
          <w:kern w:val="0"/>
          <w:sz w:val="32"/>
          <w:szCs w:val="32"/>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640" w:lineRule="exact"/>
        <w:ind w:leftChars="0" w:right="0" w:rightChars="0" w:firstLine="616" w:firstLineChars="200"/>
        <w:contextualSpacing/>
        <w:jc w:val="both"/>
        <w:textAlignment w:val="auto"/>
        <w:outlineLvl w:val="9"/>
        <w:rPr>
          <w:rFonts w:hint="default" w:ascii="Times New Roman" w:hAnsi="Times New Roman" w:eastAsia="仿宋_GB2312" w:cs="Times New Roman"/>
          <w:spacing w:val="-6"/>
          <w:w w:val="100"/>
          <w:kern w:val="0"/>
          <w:sz w:val="32"/>
          <w:szCs w:val="32"/>
        </w:rPr>
      </w:pPr>
      <w:r>
        <w:rPr>
          <w:rFonts w:hint="default" w:ascii="Times New Roman" w:hAnsi="Times New Roman" w:eastAsia="仿宋_GB2312" w:cs="Times New Roman"/>
          <w:spacing w:val="-6"/>
          <w:w w:val="100"/>
          <w:kern w:val="0"/>
          <w:sz w:val="32"/>
          <w:szCs w:val="32"/>
        </w:rPr>
        <w:t>建筑业总部企业</w:t>
      </w:r>
      <w:r>
        <w:rPr>
          <w:rFonts w:hint="eastAsia" w:ascii="Times New Roman" w:cs="Times New Roman"/>
          <w:spacing w:val="-6"/>
          <w:w w:val="100"/>
          <w:kern w:val="0"/>
          <w:sz w:val="32"/>
          <w:szCs w:val="32"/>
          <w:lang w:eastAsia="zh-CN"/>
        </w:rPr>
        <w:t>。具有施工总承包贰级以上或专业承包壹级以上建筑业企业资质</w:t>
      </w:r>
      <w:r>
        <w:rPr>
          <w:rFonts w:hint="default" w:ascii="Times New Roman" w:hAnsi="Times New Roman" w:eastAsia="仿宋_GB2312" w:cs="Times New Roman"/>
          <w:spacing w:val="-6"/>
          <w:w w:val="100"/>
          <w:kern w:val="0"/>
          <w:sz w:val="32"/>
          <w:szCs w:val="32"/>
        </w:rPr>
        <w:t>，上年度在我市结算的营业收入5亿元以上，且形成财政贡献1000万元以上。</w:t>
      </w:r>
    </w:p>
    <w:p>
      <w:pPr>
        <w:keepNext w:val="0"/>
        <w:keepLines w:val="0"/>
        <w:pageBreakBefore w:val="0"/>
        <w:widowControl w:val="0"/>
        <w:suppressLineNumbers w:val="0"/>
        <w:kinsoku/>
        <w:wordWrap/>
        <w:overflowPunct/>
        <w:topLinePunct w:val="0"/>
        <w:autoSpaceDE/>
        <w:autoSpaceDN/>
        <w:bidi w:val="0"/>
        <w:adjustRightInd w:val="0"/>
        <w:snapToGrid w:val="0"/>
        <w:spacing w:line="574" w:lineRule="exact"/>
        <w:ind w:right="0" w:rightChars="0" w:firstLine="616" w:firstLineChars="200"/>
        <w:contextualSpacing/>
        <w:jc w:val="both"/>
        <w:textAlignment w:val="auto"/>
        <w:outlineLvl w:val="9"/>
        <w:rPr>
          <w:rFonts w:hint="eastAsia" w:ascii="Times New Roman" w:hAnsi="Times New Roman" w:eastAsia="仿宋_GB2312" w:cs="Times New Roman"/>
          <w:b/>
          <w:bCs/>
          <w:spacing w:val="-6"/>
          <w:w w:val="100"/>
          <w:kern w:val="0"/>
          <w:sz w:val="32"/>
          <w:szCs w:val="32"/>
          <w:lang w:eastAsia="zh-CN"/>
        </w:rPr>
      </w:pPr>
      <w:r>
        <w:rPr>
          <w:rFonts w:hint="eastAsia" w:ascii="Times New Roman" w:cs="Times New Roman"/>
          <w:b/>
          <w:bCs/>
          <w:spacing w:val="-6"/>
          <w:w w:val="100"/>
          <w:kern w:val="0"/>
          <w:sz w:val="32"/>
          <w:szCs w:val="32"/>
          <w:lang w:eastAsia="zh-CN"/>
        </w:rPr>
        <w:t>（原文：</w:t>
      </w:r>
      <w:r>
        <w:rPr>
          <w:rFonts w:ascii="Times New Roman" w:hAnsi="Times New Roman"/>
          <w:b/>
          <w:bCs/>
          <w:spacing w:val="-6"/>
          <w:w w:val="100"/>
          <w:kern w:val="0"/>
          <w:szCs w:val="32"/>
        </w:rPr>
        <w:t>建筑业总部企业</w:t>
      </w:r>
      <w:r>
        <w:rPr>
          <w:rFonts w:hint="eastAsia" w:ascii="Times New Roman" w:hAnsi="Times New Roman"/>
          <w:b/>
          <w:bCs/>
          <w:spacing w:val="-6"/>
          <w:w w:val="100"/>
          <w:kern w:val="0"/>
          <w:szCs w:val="32"/>
        </w:rPr>
        <w:t>。</w:t>
      </w:r>
      <w:r>
        <w:rPr>
          <w:rFonts w:ascii="Times New Roman" w:hAnsi="Times New Roman"/>
          <w:b/>
          <w:bCs/>
          <w:spacing w:val="-6"/>
          <w:w w:val="100"/>
          <w:kern w:val="0"/>
          <w:szCs w:val="32"/>
        </w:rPr>
        <w:t>具有企业资质等级总承包贰级以上资质，</w:t>
      </w:r>
      <w:r>
        <w:rPr>
          <w:rFonts w:hint="eastAsia" w:ascii="Times New Roman" w:hAnsi="Times New Roman"/>
          <w:b/>
          <w:bCs/>
          <w:spacing w:val="-6"/>
          <w:w w:val="100"/>
          <w:kern w:val="0"/>
          <w:szCs w:val="32"/>
        </w:rPr>
        <w:t>上年度在我市结算的营业收入</w:t>
      </w:r>
      <w:r>
        <w:rPr>
          <w:rFonts w:ascii="Times New Roman" w:hAnsi="Times New Roman"/>
          <w:b/>
          <w:bCs/>
          <w:spacing w:val="-6"/>
          <w:w w:val="100"/>
          <w:kern w:val="0"/>
          <w:szCs w:val="32"/>
        </w:rPr>
        <w:t>5亿元</w:t>
      </w:r>
      <w:r>
        <w:rPr>
          <w:rFonts w:hint="eastAsia" w:ascii="Times New Roman" w:hAnsi="Times New Roman"/>
          <w:b/>
          <w:bCs/>
          <w:spacing w:val="-6"/>
          <w:w w:val="100"/>
          <w:kern w:val="0"/>
          <w:szCs w:val="32"/>
        </w:rPr>
        <w:t>以上，且形成财政贡献</w:t>
      </w:r>
      <w:r>
        <w:rPr>
          <w:rFonts w:ascii="Times New Roman" w:hAnsi="Times New Roman"/>
          <w:b/>
          <w:bCs/>
          <w:spacing w:val="-6"/>
          <w:w w:val="100"/>
          <w:kern w:val="0"/>
          <w:szCs w:val="32"/>
        </w:rPr>
        <w:t>1000万元以上。</w:t>
      </w:r>
      <w:r>
        <w:rPr>
          <w:rFonts w:hint="eastAsia" w:ascii="Times New Roman" w:cs="Times New Roman"/>
          <w:b/>
          <w:bCs/>
          <w:spacing w:val="-6"/>
          <w:w w:val="100"/>
          <w:kern w:val="0"/>
          <w:sz w:val="32"/>
          <w:szCs w:val="32"/>
          <w:lang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640" w:lineRule="exact"/>
        <w:ind w:leftChars="0" w:right="0" w:rightChars="0" w:firstLine="616" w:firstLineChars="200"/>
        <w:contextualSpacing/>
        <w:jc w:val="both"/>
        <w:textAlignment w:val="auto"/>
        <w:outlineLvl w:val="9"/>
        <w:rPr>
          <w:rFonts w:hint="default" w:ascii="黑体" w:hAnsi="黑体" w:eastAsia="黑体" w:cs="黑体"/>
          <w:spacing w:val="-6"/>
          <w:w w:val="100"/>
          <w:kern w:val="0"/>
          <w:sz w:val="32"/>
          <w:szCs w:val="32"/>
          <w:lang w:val="en-US" w:eastAsia="zh-CN"/>
        </w:rPr>
      </w:pPr>
      <w:r>
        <w:rPr>
          <w:rFonts w:hint="eastAsia" w:ascii="黑体" w:hAnsi="黑体" w:eastAsia="黑体" w:cs="黑体"/>
          <w:spacing w:val="-6"/>
          <w:w w:val="100"/>
          <w:kern w:val="0"/>
          <w:sz w:val="32"/>
          <w:szCs w:val="32"/>
          <w:lang w:val="en-US" w:eastAsia="zh-CN"/>
        </w:rPr>
        <w:t>二</w:t>
      </w:r>
      <w:r>
        <w:rPr>
          <w:rFonts w:hint="default" w:ascii="黑体" w:hAnsi="黑体" w:eastAsia="黑体" w:cs="黑体"/>
          <w:spacing w:val="-6"/>
          <w:w w:val="100"/>
          <w:kern w:val="0"/>
          <w:sz w:val="32"/>
          <w:szCs w:val="32"/>
          <w:lang w:val="en-US" w:eastAsia="zh-CN"/>
        </w:rPr>
        <w:t>、</w:t>
      </w:r>
      <w:r>
        <w:rPr>
          <w:rFonts w:hint="eastAsia" w:ascii="黑体" w:hAnsi="黑体" w:eastAsia="黑体" w:cs="黑体"/>
          <w:spacing w:val="-6"/>
          <w:w w:val="100"/>
          <w:kern w:val="0"/>
          <w:sz w:val="32"/>
          <w:szCs w:val="32"/>
          <w:lang w:val="en-US" w:eastAsia="zh-CN"/>
        </w:rPr>
        <w:t>建立总部企业在库资格动态管理机制</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640" w:lineRule="exact"/>
        <w:ind w:leftChars="0" w:right="0" w:rightChars="0" w:firstLine="616" w:firstLineChars="200"/>
        <w:contextualSpacing/>
        <w:jc w:val="both"/>
        <w:textAlignment w:val="auto"/>
        <w:outlineLvl w:val="9"/>
        <w:rPr>
          <w:rFonts w:hint="eastAsia" w:ascii="仿宋_GB2312" w:hAnsi="仿宋_GB2312" w:eastAsia="仿宋_GB2312" w:cs="仿宋_GB2312"/>
          <w:spacing w:val="-6"/>
          <w:w w:val="100"/>
          <w:kern w:val="0"/>
          <w:sz w:val="32"/>
          <w:szCs w:val="32"/>
          <w:lang w:val="en-US" w:eastAsia="zh-CN"/>
        </w:rPr>
      </w:pPr>
      <w:r>
        <w:rPr>
          <w:rFonts w:hint="eastAsia" w:hAnsi="仿宋_GB2312" w:cs="仿宋_GB2312"/>
          <w:spacing w:val="-6"/>
          <w:w w:val="100"/>
          <w:kern w:val="0"/>
          <w:sz w:val="32"/>
          <w:szCs w:val="32"/>
          <w:lang w:val="en-US" w:eastAsia="zh-CN"/>
        </w:rPr>
        <w:t>（一）</w:t>
      </w:r>
      <w:r>
        <w:rPr>
          <w:rFonts w:hint="eastAsia" w:ascii="仿宋_GB2312" w:hAnsi="仿宋_GB2312" w:eastAsia="仿宋_GB2312" w:cs="仿宋_GB2312"/>
          <w:spacing w:val="-6"/>
          <w:w w:val="100"/>
          <w:kern w:val="0"/>
          <w:sz w:val="32"/>
          <w:szCs w:val="32"/>
          <w:lang w:val="en-US" w:eastAsia="zh-CN"/>
        </w:rPr>
        <w:t>对《</w:t>
      </w:r>
      <w:r>
        <w:rPr>
          <w:rFonts w:hint="eastAsia" w:hAnsi="仿宋_GB2312" w:cs="仿宋_GB2312"/>
          <w:spacing w:val="-6"/>
          <w:w w:val="100"/>
          <w:kern w:val="0"/>
          <w:sz w:val="32"/>
          <w:szCs w:val="32"/>
          <w:lang w:val="en-US" w:eastAsia="zh-CN"/>
        </w:rPr>
        <w:t>若干</w:t>
      </w:r>
      <w:r>
        <w:rPr>
          <w:rFonts w:hint="eastAsia" w:ascii="仿宋_GB2312" w:hAnsi="仿宋_GB2312" w:eastAsia="仿宋_GB2312" w:cs="仿宋_GB2312"/>
          <w:spacing w:val="-6"/>
          <w:w w:val="100"/>
          <w:kern w:val="0"/>
          <w:sz w:val="32"/>
          <w:szCs w:val="32"/>
          <w:lang w:val="en-US" w:eastAsia="zh-CN"/>
        </w:rPr>
        <w:t>意见》第五部分“组织实施”的第（六）点</w:t>
      </w:r>
      <w:r>
        <w:commentReference w:id="1"/>
      </w:r>
      <w:r>
        <w:rPr>
          <w:rFonts w:hint="eastAsia" w:ascii="仿宋_GB2312" w:hAnsi="仿宋_GB2312" w:eastAsia="仿宋_GB2312" w:cs="仿宋_GB2312"/>
          <w:spacing w:val="-6"/>
          <w:w w:val="100"/>
          <w:kern w:val="0"/>
          <w:sz w:val="32"/>
          <w:szCs w:val="32"/>
          <w:lang w:val="en-US" w:eastAsia="zh-CN"/>
        </w:rPr>
        <w:t>进行修订</w:t>
      </w:r>
      <w:r>
        <w:rPr>
          <w:rFonts w:hint="eastAsia" w:hAnsi="仿宋_GB2312" w:cs="仿宋_GB2312"/>
          <w:spacing w:val="-6"/>
          <w:w w:val="100"/>
          <w:kern w:val="0"/>
          <w:sz w:val="32"/>
          <w:szCs w:val="32"/>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640" w:lineRule="exact"/>
        <w:ind w:leftChars="0" w:right="0" w:rightChars="0" w:firstLine="616" w:firstLineChars="200"/>
        <w:contextualSpacing/>
        <w:jc w:val="both"/>
        <w:textAlignment w:val="auto"/>
        <w:outlineLvl w:val="9"/>
        <w:rPr>
          <w:rFonts w:hint="default" w:ascii="Times New Roman" w:hAnsi="Times New Roman" w:eastAsia="仿宋_GB2312" w:cs="Times New Roman"/>
          <w:spacing w:val="-6"/>
          <w:w w:val="100"/>
          <w:kern w:val="0"/>
          <w:sz w:val="32"/>
          <w:szCs w:val="32"/>
        </w:rPr>
      </w:pPr>
      <w:r>
        <w:rPr>
          <w:rFonts w:hint="default" w:ascii="Times New Roman" w:hAnsi="Times New Roman" w:eastAsia="仿宋_GB2312" w:cs="Times New Roman"/>
          <w:spacing w:val="-6"/>
          <w:w w:val="100"/>
          <w:kern w:val="0"/>
          <w:sz w:val="32"/>
          <w:szCs w:val="32"/>
        </w:rPr>
        <w:t>市总部办每年对已认定的总部企业进行资格复审，总部企业连续两年</w:t>
      </w:r>
      <w:r>
        <w:rPr>
          <w:rFonts w:hint="eastAsia" w:ascii="Times New Roman" w:cs="Times New Roman"/>
          <w:spacing w:val="-6"/>
          <w:w w:val="100"/>
          <w:kern w:val="0"/>
          <w:sz w:val="32"/>
          <w:szCs w:val="32"/>
          <w:lang w:eastAsia="zh-CN"/>
        </w:rPr>
        <w:t>资格复审未通过的</w:t>
      </w:r>
      <w:r>
        <w:rPr>
          <w:rFonts w:hint="default" w:ascii="Times New Roman" w:hAnsi="Times New Roman" w:eastAsia="仿宋_GB2312" w:cs="Times New Roman"/>
          <w:spacing w:val="-6"/>
          <w:w w:val="100"/>
          <w:kern w:val="0"/>
          <w:sz w:val="32"/>
          <w:szCs w:val="32"/>
        </w:rPr>
        <w:t>，暂停享受总部经济扶持政策。</w:t>
      </w:r>
      <w:r>
        <w:rPr>
          <w:rFonts w:hint="eastAsia" w:ascii="Times New Roman" w:cs="Times New Roman"/>
          <w:spacing w:val="-6"/>
          <w:w w:val="100"/>
          <w:kern w:val="0"/>
          <w:sz w:val="32"/>
          <w:szCs w:val="32"/>
          <w:lang w:eastAsia="zh-CN"/>
        </w:rPr>
        <w:t>总部企业连续三年资格复审未通过或</w:t>
      </w:r>
      <w:r>
        <w:rPr>
          <w:rFonts w:hint="default" w:ascii="Times New Roman" w:hAnsi="Times New Roman" w:eastAsia="仿宋_GB2312" w:cs="Times New Roman"/>
          <w:spacing w:val="-6"/>
          <w:w w:val="100"/>
          <w:kern w:val="0"/>
          <w:sz w:val="32"/>
          <w:szCs w:val="32"/>
        </w:rPr>
        <w:t>因实行“关闭、停办、合并、转产”等无法经营的，经总部办报市政府审定后取消其总部企业资格，不再享受总部</w:t>
      </w:r>
      <w:r>
        <w:rPr>
          <w:rFonts w:hint="eastAsia" w:ascii="Times New Roman" w:cs="Times New Roman"/>
          <w:spacing w:val="-6"/>
          <w:w w:val="100"/>
          <w:kern w:val="0"/>
          <w:sz w:val="32"/>
          <w:szCs w:val="32"/>
          <w:lang w:eastAsia="zh-CN"/>
        </w:rPr>
        <w:t>经济</w:t>
      </w:r>
      <w:r>
        <w:rPr>
          <w:rFonts w:hint="default" w:ascii="Times New Roman" w:hAnsi="Times New Roman" w:eastAsia="仿宋_GB2312" w:cs="Times New Roman"/>
          <w:spacing w:val="-6"/>
          <w:w w:val="100"/>
          <w:kern w:val="0"/>
          <w:sz w:val="32"/>
          <w:szCs w:val="32"/>
        </w:rPr>
        <w:t>扶持</w:t>
      </w:r>
      <w:r>
        <w:rPr>
          <w:rFonts w:hint="eastAsia" w:ascii="Times New Roman" w:cs="Times New Roman"/>
          <w:spacing w:val="-6"/>
          <w:w w:val="100"/>
          <w:kern w:val="0"/>
          <w:sz w:val="32"/>
          <w:szCs w:val="32"/>
          <w:lang w:eastAsia="zh-CN"/>
        </w:rPr>
        <w:t>政策</w:t>
      </w:r>
      <w:r>
        <w:rPr>
          <w:rFonts w:hint="default" w:ascii="Times New Roman" w:hAnsi="Times New Roman" w:eastAsia="仿宋_GB2312" w:cs="Times New Roman"/>
          <w:spacing w:val="-6"/>
          <w:w w:val="100"/>
          <w:kern w:val="0"/>
          <w:sz w:val="32"/>
          <w:szCs w:val="32"/>
        </w:rPr>
        <w:t>，且该企业两年内不得再申请认定；满两年后符合条件的，可重新申请认定，继续享受除落户奖之外的总部经济扶持政策。</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640" w:lineRule="exact"/>
        <w:ind w:leftChars="0" w:right="0" w:rightChars="0" w:firstLine="616" w:firstLineChars="200"/>
        <w:contextualSpacing/>
        <w:jc w:val="both"/>
        <w:textAlignment w:val="auto"/>
        <w:outlineLvl w:val="9"/>
        <w:rPr>
          <w:rFonts w:hint="eastAsia" w:ascii="Times New Roman" w:cs="Times New Roman"/>
          <w:b/>
          <w:bCs/>
          <w:spacing w:val="-6"/>
          <w:w w:val="100"/>
          <w:kern w:val="0"/>
          <w:sz w:val="32"/>
          <w:szCs w:val="32"/>
          <w:lang w:eastAsia="zh-CN"/>
        </w:rPr>
      </w:pPr>
      <w:r>
        <w:rPr>
          <w:rFonts w:hint="eastAsia" w:ascii="Times New Roman" w:cs="Times New Roman"/>
          <w:b/>
          <w:bCs/>
          <w:spacing w:val="-6"/>
          <w:w w:val="100"/>
          <w:kern w:val="0"/>
          <w:sz w:val="32"/>
          <w:szCs w:val="32"/>
          <w:lang w:eastAsia="zh-CN"/>
        </w:rPr>
        <w:t>（原文：市总部办每年对已认定的总部企业进行资格复审，总部企业连续两年在我市形成财政贡献未达到认定条件的，暂停享受总部经济扶持政策。因实行“关闭、停办、合并、转产”等无法经营的，经总部办报市政府审定后取消其总部企业资格，不再享受总部扶持措施，且该企业两年内不得再申请认定；满两年后符合条件的，可重新申请认定，继续享受除落户奖之外的扶持资金。）</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640" w:lineRule="exact"/>
        <w:ind w:leftChars="0" w:right="0" w:rightChars="0" w:firstLine="616" w:firstLineChars="200"/>
        <w:contextualSpacing/>
        <w:jc w:val="both"/>
        <w:textAlignment w:val="auto"/>
        <w:outlineLvl w:val="9"/>
        <w:rPr>
          <w:rFonts w:hint="eastAsia" w:ascii="仿宋_GB2312" w:hAnsi="仿宋_GB2312" w:eastAsia="仿宋_GB2312" w:cs="仿宋_GB2312"/>
          <w:spacing w:val="-6"/>
          <w:w w:val="100"/>
          <w:kern w:val="0"/>
          <w:sz w:val="32"/>
          <w:szCs w:val="32"/>
          <w:lang w:val="en-US" w:eastAsia="zh-CN"/>
        </w:rPr>
      </w:pPr>
      <w:r>
        <w:rPr>
          <w:rFonts w:hint="eastAsia" w:ascii="Times New Roman" w:cs="Times New Roman"/>
          <w:spacing w:val="-6"/>
          <w:w w:val="100"/>
          <w:kern w:val="0"/>
          <w:sz w:val="32"/>
          <w:szCs w:val="32"/>
          <w:lang w:eastAsia="zh-CN"/>
        </w:rPr>
        <w:t>（二）</w:t>
      </w:r>
      <w:r>
        <w:rPr>
          <w:rFonts w:hint="eastAsia" w:ascii="仿宋_GB2312" w:hAnsi="仿宋_GB2312" w:eastAsia="仿宋_GB2312" w:cs="仿宋_GB2312"/>
          <w:spacing w:val="-6"/>
          <w:w w:val="100"/>
          <w:kern w:val="0"/>
          <w:sz w:val="32"/>
          <w:szCs w:val="32"/>
          <w:lang w:val="en-US" w:eastAsia="zh-CN"/>
        </w:rPr>
        <w:t>对《实施细则》第</w:t>
      </w:r>
      <w:r>
        <w:rPr>
          <w:rFonts w:hint="eastAsia" w:hAnsi="仿宋_GB2312" w:cs="仿宋_GB2312"/>
          <w:spacing w:val="-6"/>
          <w:w w:val="100"/>
          <w:kern w:val="0"/>
          <w:sz w:val="32"/>
          <w:szCs w:val="32"/>
          <w:lang w:val="en-US" w:eastAsia="zh-CN"/>
        </w:rPr>
        <w:t>十六</w:t>
      </w:r>
      <w:r>
        <w:rPr>
          <w:rFonts w:hint="eastAsia" w:ascii="仿宋_GB2312" w:hAnsi="仿宋_GB2312" w:eastAsia="仿宋_GB2312" w:cs="仿宋_GB2312"/>
          <w:spacing w:val="-6"/>
          <w:w w:val="100"/>
          <w:kern w:val="0"/>
          <w:sz w:val="32"/>
          <w:szCs w:val="32"/>
          <w:lang w:val="en-US" w:eastAsia="zh-CN"/>
        </w:rPr>
        <w:t>条</w:t>
      </w:r>
      <w:r>
        <w:rPr>
          <w:rFonts w:hint="eastAsia" w:hAnsi="仿宋_GB2312" w:cs="仿宋_GB2312"/>
          <w:spacing w:val="-6"/>
          <w:w w:val="100"/>
          <w:kern w:val="0"/>
          <w:sz w:val="32"/>
          <w:szCs w:val="32"/>
          <w:lang w:val="en-US" w:eastAsia="zh-CN"/>
        </w:rPr>
        <w:t>的</w:t>
      </w:r>
      <w:r>
        <w:rPr>
          <w:rFonts w:hint="eastAsia"/>
          <w:lang w:eastAsia="zh-CN"/>
        </w:rPr>
        <w:t>第（三）项</w:t>
      </w:r>
      <w:r>
        <w:commentReference w:id="2"/>
      </w:r>
      <w:r>
        <w:rPr>
          <w:rFonts w:hint="eastAsia" w:hAnsi="仿宋_GB2312" w:cs="仿宋_GB2312"/>
          <w:spacing w:val="-6"/>
          <w:w w:val="100"/>
          <w:kern w:val="0"/>
          <w:sz w:val="32"/>
          <w:szCs w:val="32"/>
          <w:lang w:val="en-US" w:eastAsia="zh-CN"/>
        </w:rPr>
        <w:t>“资格复审申报审核程序”的</w:t>
      </w:r>
      <w:r>
        <w:rPr>
          <w:rFonts w:hint="eastAsia"/>
          <w:lang w:eastAsia="zh-CN"/>
        </w:rPr>
        <w:t>第</w:t>
      </w:r>
      <w:r>
        <w:rPr>
          <w:rFonts w:hint="eastAsia"/>
          <w:lang w:val="en-US" w:eastAsia="zh-CN"/>
        </w:rPr>
        <w:t>2目</w:t>
      </w:r>
      <w:r>
        <w:commentReference w:id="3"/>
      </w:r>
      <w:r>
        <w:rPr>
          <w:rFonts w:hint="eastAsia" w:ascii="仿宋_GB2312" w:hAnsi="仿宋_GB2312" w:eastAsia="仿宋_GB2312" w:cs="仿宋_GB2312"/>
          <w:spacing w:val="-6"/>
          <w:w w:val="100"/>
          <w:kern w:val="0"/>
          <w:sz w:val="32"/>
          <w:szCs w:val="32"/>
          <w:lang w:val="en-US" w:eastAsia="zh-CN"/>
        </w:rPr>
        <w:t>进行修订：</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640" w:lineRule="exact"/>
        <w:ind w:leftChars="0" w:right="0" w:rightChars="0" w:firstLine="616" w:firstLineChars="200"/>
        <w:contextualSpacing/>
        <w:jc w:val="both"/>
        <w:textAlignment w:val="auto"/>
        <w:outlineLvl w:val="9"/>
        <w:rPr>
          <w:rFonts w:hint="eastAsia" w:ascii="Times New Roman" w:cs="Times New Roman"/>
          <w:spacing w:val="-6"/>
          <w:w w:val="100"/>
          <w:kern w:val="0"/>
          <w:sz w:val="32"/>
          <w:szCs w:val="32"/>
          <w:lang w:eastAsia="zh-CN"/>
        </w:rPr>
      </w:pPr>
      <w:r>
        <w:rPr>
          <w:rFonts w:hint="eastAsia" w:ascii="Times New Roman" w:cs="Times New Roman"/>
          <w:spacing w:val="-6"/>
          <w:w w:val="100"/>
          <w:kern w:val="0"/>
          <w:sz w:val="32"/>
          <w:szCs w:val="32"/>
          <w:lang w:eastAsia="zh-CN"/>
        </w:rPr>
        <w:t>已认定总部企业申请资格复审主要审核企业经营状况和配套奖励的依据。资格复审未通过的，当年可继续享受总部经济扶持政策。资格复审连续两年未通过的，暂停享受总部经济扶持政策。</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640" w:lineRule="exact"/>
        <w:ind w:leftChars="0" w:right="0" w:rightChars="0" w:firstLine="616" w:firstLineChars="200"/>
        <w:contextualSpacing/>
        <w:jc w:val="both"/>
        <w:textAlignment w:val="auto"/>
        <w:outlineLvl w:val="9"/>
        <w:rPr>
          <w:rFonts w:hint="eastAsia" w:ascii="Times New Roman" w:cs="Times New Roman"/>
          <w:spacing w:val="-6"/>
          <w:w w:val="100"/>
          <w:kern w:val="0"/>
          <w:sz w:val="32"/>
          <w:szCs w:val="32"/>
          <w:lang w:eastAsia="zh-CN"/>
        </w:rPr>
      </w:pPr>
      <w:r>
        <w:rPr>
          <w:rFonts w:hint="eastAsia" w:ascii="Times New Roman" w:cs="Times New Roman"/>
          <w:spacing w:val="-6"/>
          <w:w w:val="100"/>
          <w:kern w:val="0"/>
          <w:sz w:val="32"/>
          <w:szCs w:val="32"/>
          <w:lang w:eastAsia="zh-CN"/>
        </w:rPr>
        <w:t>（</w:t>
      </w:r>
      <w:r>
        <w:rPr>
          <w:rFonts w:hint="eastAsia" w:ascii="Times New Roman" w:cs="Times New Roman"/>
          <w:b/>
          <w:bCs/>
          <w:spacing w:val="-6"/>
          <w:w w:val="100"/>
          <w:kern w:val="0"/>
          <w:sz w:val="32"/>
          <w:szCs w:val="32"/>
          <w:lang w:eastAsia="zh-CN"/>
        </w:rPr>
        <w:t>原文：已认定总部企业申请资格复审主要审核企业经营状况和配套奖励的依据。首次资格复审未达到认定条件的，可继续享受总部经济的贡献奖、提升奖、人才奖、入学服务（如无地方贡献则暂停享受扶持政策）。资格复审连续两年未达到认定条件的，暂停享受总部经济扶持政策。</w:t>
      </w:r>
      <w:r>
        <w:rPr>
          <w:rFonts w:hint="eastAsia" w:ascii="Times New Roman" w:cs="Times New Roman"/>
          <w:spacing w:val="-6"/>
          <w:w w:val="100"/>
          <w:kern w:val="0"/>
          <w:sz w:val="32"/>
          <w:szCs w:val="32"/>
          <w:lang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640" w:lineRule="exact"/>
        <w:ind w:leftChars="0" w:right="0" w:rightChars="0" w:firstLine="616" w:firstLineChars="200"/>
        <w:contextualSpacing/>
        <w:jc w:val="both"/>
        <w:textAlignment w:val="auto"/>
        <w:outlineLvl w:val="9"/>
        <w:rPr>
          <w:rFonts w:hint="eastAsia" w:ascii="黑体" w:hAnsi="黑体" w:eastAsia="黑体" w:cs="黑体"/>
          <w:spacing w:val="-6"/>
          <w:w w:val="100"/>
          <w:kern w:val="0"/>
          <w:sz w:val="32"/>
          <w:szCs w:val="32"/>
          <w:lang w:val="en-US" w:eastAsia="zh-CN"/>
        </w:rPr>
      </w:pPr>
      <w:r>
        <w:rPr>
          <w:rFonts w:hint="eastAsia" w:ascii="黑体" w:hAnsi="黑体" w:eastAsia="黑体" w:cs="黑体"/>
          <w:spacing w:val="-6"/>
          <w:w w:val="100"/>
          <w:kern w:val="0"/>
          <w:sz w:val="32"/>
          <w:szCs w:val="32"/>
          <w:lang w:val="en-US" w:eastAsia="zh-CN"/>
        </w:rPr>
        <w:t>三、调整上市公司总部企业资格复审要求</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640" w:lineRule="exact"/>
        <w:ind w:leftChars="0" w:right="0" w:rightChars="0" w:firstLine="616" w:firstLineChars="200"/>
        <w:contextualSpacing/>
        <w:jc w:val="both"/>
        <w:textAlignment w:val="auto"/>
        <w:outlineLvl w:val="9"/>
        <w:rPr>
          <w:rFonts w:hint="eastAsia" w:ascii="仿宋_GB2312" w:hAnsi="仿宋_GB2312" w:eastAsia="仿宋_GB2312" w:cs="仿宋_GB2312"/>
          <w:spacing w:val="-6"/>
          <w:w w:val="100"/>
          <w:kern w:val="0"/>
          <w:sz w:val="32"/>
          <w:szCs w:val="32"/>
          <w:lang w:val="en-US" w:eastAsia="zh-CN"/>
        </w:rPr>
      </w:pPr>
      <w:r>
        <w:rPr>
          <w:rFonts w:hint="eastAsia" w:ascii="仿宋_GB2312" w:hAnsi="仿宋_GB2312" w:eastAsia="仿宋_GB2312" w:cs="仿宋_GB2312"/>
          <w:spacing w:val="-6"/>
          <w:w w:val="100"/>
          <w:kern w:val="0"/>
          <w:sz w:val="32"/>
          <w:szCs w:val="32"/>
          <w:lang w:val="en-US" w:eastAsia="zh-CN"/>
        </w:rPr>
        <w:t>对《实施细则》第四条</w:t>
      </w:r>
      <w:r>
        <w:rPr>
          <w:rFonts w:hint="eastAsia" w:hAnsi="仿宋_GB2312" w:cs="仿宋_GB2312"/>
          <w:spacing w:val="-6"/>
          <w:w w:val="100"/>
          <w:kern w:val="0"/>
          <w:sz w:val="32"/>
          <w:szCs w:val="32"/>
          <w:lang w:val="en-US" w:eastAsia="zh-CN"/>
        </w:rPr>
        <w:t>的</w:t>
      </w:r>
      <w:r>
        <w:rPr>
          <w:rFonts w:hint="eastAsia"/>
          <w:lang w:eastAsia="zh-CN"/>
        </w:rPr>
        <w:t>第（一）项</w:t>
      </w:r>
      <w:r>
        <w:commentReference w:id="4"/>
      </w:r>
      <w:r>
        <w:rPr>
          <w:rFonts w:hint="eastAsia" w:hAnsi="仿宋_GB2312" w:cs="仿宋_GB2312"/>
          <w:spacing w:val="-6"/>
          <w:w w:val="100"/>
          <w:kern w:val="0"/>
          <w:sz w:val="32"/>
          <w:szCs w:val="32"/>
          <w:lang w:val="en-US" w:eastAsia="zh-CN"/>
        </w:rPr>
        <w:t>“申报条件和标准”</w:t>
      </w:r>
      <w:r>
        <w:rPr>
          <w:rFonts w:hint="eastAsia" w:ascii="仿宋_GB2312" w:hAnsi="仿宋_GB2312" w:eastAsia="仿宋_GB2312" w:cs="仿宋_GB2312"/>
          <w:spacing w:val="-6"/>
          <w:w w:val="100"/>
          <w:kern w:val="0"/>
          <w:sz w:val="32"/>
          <w:szCs w:val="32"/>
          <w:lang w:val="en-US" w:eastAsia="zh-CN"/>
        </w:rPr>
        <w:t>进行修订：</w:t>
      </w:r>
    </w:p>
    <w:p>
      <w:pPr>
        <w:keepNext w:val="0"/>
        <w:keepLines w:val="0"/>
        <w:pageBreakBefore w:val="0"/>
        <w:widowControl w:val="0"/>
        <w:suppressLineNumbers w:val="0"/>
        <w:kinsoku/>
        <w:wordWrap/>
        <w:overflowPunct/>
        <w:topLinePunct w:val="0"/>
        <w:autoSpaceDE/>
        <w:autoSpaceDN/>
        <w:bidi w:val="0"/>
        <w:adjustRightInd w:val="0"/>
        <w:snapToGrid w:val="0"/>
        <w:spacing w:line="640" w:lineRule="exact"/>
        <w:ind w:left="0" w:leftChars="0" w:right="0" w:rightChars="0" w:firstLine="616" w:firstLineChars="200"/>
        <w:contextualSpacing/>
        <w:jc w:val="both"/>
        <w:textAlignment w:val="auto"/>
        <w:outlineLvl w:val="9"/>
        <w:rPr>
          <w:rFonts w:hint="eastAsia" w:ascii="仿宋_GB2312" w:hAnsi="仿宋_GB2312" w:eastAsia="仿宋_GB2312" w:cs="仿宋_GB2312"/>
          <w:spacing w:val="-6"/>
          <w:kern w:val="0"/>
          <w:sz w:val="32"/>
          <w:szCs w:val="32"/>
          <w:lang w:val="en-US" w:eastAsia="zh-CN"/>
        </w:rPr>
      </w:pPr>
      <w:r>
        <w:rPr>
          <w:rFonts w:hint="eastAsia" w:hAnsi="仿宋_GB2312" w:cs="仿宋_GB2312"/>
          <w:spacing w:val="-6"/>
          <w:kern w:val="0"/>
          <w:sz w:val="32"/>
          <w:szCs w:val="32"/>
          <w:lang w:val="en-US" w:eastAsia="zh-CN"/>
        </w:rPr>
        <w:t>符合《意见》基本条件和认定条件的，且已被认定的总部企业，包括2019年以前被认定的总部企业；</w:t>
      </w:r>
      <w:r>
        <w:rPr>
          <w:rFonts w:hint="eastAsia" w:ascii="仿宋_GB2312" w:hAnsi="仿宋_GB2312" w:eastAsia="仿宋_GB2312" w:cs="仿宋_GB2312"/>
          <w:spacing w:val="-6"/>
          <w:kern w:val="0"/>
          <w:sz w:val="32"/>
          <w:szCs w:val="32"/>
          <w:lang w:val="en-US" w:eastAsia="zh-CN"/>
        </w:rPr>
        <w:t>属于境内外上市公司的总部企业营业收入和财政贡献均达到认定标准</w:t>
      </w:r>
      <w:r>
        <w:rPr>
          <w:rFonts w:hint="eastAsia" w:hAnsi="仿宋_GB2312" w:cs="仿宋_GB2312"/>
          <w:spacing w:val="-6"/>
          <w:kern w:val="0"/>
          <w:sz w:val="32"/>
          <w:szCs w:val="32"/>
          <w:lang w:val="en-US" w:eastAsia="zh-CN"/>
        </w:rPr>
        <w:t>8</w:t>
      </w:r>
      <w:r>
        <w:rPr>
          <w:rFonts w:hint="eastAsia" w:ascii="仿宋_GB2312" w:hAnsi="仿宋_GB2312" w:eastAsia="仿宋_GB2312" w:cs="仿宋_GB2312"/>
          <w:spacing w:val="-6"/>
          <w:kern w:val="0"/>
          <w:sz w:val="32"/>
          <w:szCs w:val="32"/>
          <w:lang w:val="en-US" w:eastAsia="zh-CN"/>
        </w:rPr>
        <w:t>0%以上视为资格复审通过。</w:t>
      </w:r>
    </w:p>
    <w:p>
      <w:pPr>
        <w:keepNext w:val="0"/>
        <w:keepLines w:val="0"/>
        <w:pageBreakBefore w:val="0"/>
        <w:widowControl w:val="0"/>
        <w:suppressLineNumbers w:val="0"/>
        <w:kinsoku/>
        <w:wordWrap/>
        <w:overflowPunct/>
        <w:topLinePunct w:val="0"/>
        <w:autoSpaceDE/>
        <w:autoSpaceDN/>
        <w:bidi w:val="0"/>
        <w:adjustRightInd w:val="0"/>
        <w:snapToGrid w:val="0"/>
        <w:spacing w:line="640" w:lineRule="exact"/>
        <w:ind w:left="0" w:leftChars="0" w:right="0" w:rightChars="0" w:firstLine="616" w:firstLineChars="200"/>
        <w:contextualSpacing/>
        <w:jc w:val="both"/>
        <w:textAlignment w:val="auto"/>
        <w:outlineLvl w:val="9"/>
        <w:rPr>
          <w:rFonts w:hint="default" w:ascii="Times New Roman" w:hAnsi="Times New Roman" w:eastAsia="仿宋_GB2312" w:cs="Times New Roman"/>
          <w:b/>
          <w:bCs/>
          <w:spacing w:val="-6"/>
          <w:w w:val="100"/>
          <w:kern w:val="0"/>
          <w:sz w:val="32"/>
          <w:szCs w:val="32"/>
          <w:lang w:val="en-US" w:eastAsia="zh-CN"/>
        </w:rPr>
      </w:pPr>
      <w:r>
        <w:rPr>
          <w:rFonts w:hint="eastAsia" w:ascii="Times New Roman" w:cs="Times New Roman"/>
          <w:b/>
          <w:bCs/>
          <w:spacing w:val="-6"/>
          <w:w w:val="100"/>
          <w:kern w:val="0"/>
          <w:sz w:val="32"/>
          <w:szCs w:val="32"/>
          <w:lang w:val="en-US" w:eastAsia="zh-CN"/>
        </w:rPr>
        <w:t>（原文：符合《意见》基本条件和认定条件的，且已被认定的总部企业，包括2019年以前被认定的总部企业。）</w:t>
      </w:r>
    </w:p>
    <w:p>
      <w:pPr>
        <w:keepNext w:val="0"/>
        <w:keepLines w:val="0"/>
        <w:pageBreakBefore w:val="0"/>
        <w:widowControl w:val="0"/>
        <w:suppressLineNumbers w:val="0"/>
        <w:kinsoku/>
        <w:wordWrap/>
        <w:overflowPunct/>
        <w:topLinePunct w:val="0"/>
        <w:autoSpaceDE/>
        <w:autoSpaceDN/>
        <w:bidi w:val="0"/>
        <w:adjustRightInd w:val="0"/>
        <w:snapToGrid w:val="0"/>
        <w:spacing w:line="640" w:lineRule="exact"/>
        <w:ind w:left="0" w:leftChars="0" w:right="0" w:rightChars="0" w:firstLine="616" w:firstLineChars="200"/>
        <w:contextualSpacing/>
        <w:jc w:val="both"/>
        <w:textAlignment w:val="auto"/>
        <w:outlineLvl w:val="9"/>
        <w:rPr>
          <w:rFonts w:hint="eastAsia" w:ascii="仿宋_GB2312" w:hAnsi="仿宋_GB2312" w:eastAsia="仿宋_GB2312" w:cs="仿宋_GB2312"/>
          <w:spacing w:val="-6"/>
          <w:w w:val="100"/>
          <w:kern w:val="0"/>
          <w:sz w:val="32"/>
          <w:szCs w:val="32"/>
          <w:lang w:val="en-US" w:eastAsia="zh-CN"/>
        </w:rPr>
      </w:pPr>
    </w:p>
    <w:p>
      <w:pPr>
        <w:pStyle w:val="2"/>
        <w:ind w:firstLine="616" w:firstLineChars="200"/>
        <w:rPr>
          <w:rFonts w:hint="default" w:eastAsia="仿宋_GB2312"/>
          <w:lang w:val="en-US" w:eastAsia="zh-CN"/>
        </w:rPr>
      </w:pPr>
      <w:r>
        <w:rPr>
          <w:rFonts w:hint="eastAsia" w:ascii="仿宋_GB2312" w:hAnsi="仿宋_GB2312" w:eastAsia="仿宋_GB2312" w:cs="仿宋_GB2312"/>
          <w:spacing w:val="-6"/>
          <w:w w:val="100"/>
          <w:kern w:val="0"/>
          <w:sz w:val="32"/>
          <w:szCs w:val="32"/>
          <w:lang w:val="en-US" w:eastAsia="zh-CN"/>
        </w:rPr>
        <w:t>本意见与《中山市人民政府关于进一步鼓励发展总部经济的若干意见》（中府〔2019〕118号）、</w:t>
      </w:r>
      <w:r>
        <w:rPr>
          <w:rFonts w:hint="eastAsia" w:ascii="仿宋_GB2312" w:hAnsi="仿宋_GB2312" w:eastAsia="仿宋_GB2312" w:cs="仿宋_GB2312"/>
          <w:b w:val="0"/>
          <w:bCs w:val="0"/>
          <w:spacing w:val="-6"/>
          <w:w w:val="100"/>
          <w:kern w:val="0"/>
          <w:sz w:val="32"/>
          <w:szCs w:val="32"/>
          <w:lang w:val="en-US" w:eastAsia="zh-CN"/>
        </w:rPr>
        <w:t>《中山市鼓励发展总部经济实施细则》（中府办〔2020〕21号）</w:t>
      </w:r>
      <w:r>
        <w:rPr>
          <w:rFonts w:hint="eastAsia" w:ascii="仿宋_GB2312" w:hAnsi="仿宋_GB2312" w:eastAsia="仿宋_GB2312" w:cs="仿宋_GB2312"/>
          <w:spacing w:val="-6"/>
          <w:w w:val="100"/>
          <w:kern w:val="0"/>
          <w:sz w:val="32"/>
          <w:szCs w:val="32"/>
          <w:lang w:val="en-US" w:eastAsia="zh-CN"/>
        </w:rPr>
        <w:t>不符的条款，按照本意见执行。</w:t>
      </w:r>
      <w:r>
        <w:rPr>
          <w:rFonts w:hint="eastAsia"/>
          <w:lang w:eastAsia="zh-CN"/>
        </w:rPr>
        <w:t>本意见自印发之日起施行，有效期至</w:t>
      </w:r>
      <w:r>
        <w:rPr>
          <w:rFonts w:hint="eastAsia"/>
          <w:lang w:val="en-US" w:eastAsia="zh-CN"/>
        </w:rPr>
        <w:t>2024年12月31日。</w:t>
      </w:r>
    </w:p>
    <w:p>
      <w:pPr>
        <w:keepNext w:val="0"/>
        <w:keepLines w:val="0"/>
        <w:pageBreakBefore w:val="0"/>
        <w:widowControl w:val="0"/>
        <w:kinsoku/>
        <w:overflowPunct/>
        <w:topLinePunct w:val="0"/>
        <w:autoSpaceDE/>
        <w:autoSpaceDN/>
        <w:bidi w:val="0"/>
        <w:adjustRightInd w:val="0"/>
        <w:snapToGrid w:val="0"/>
        <w:spacing w:line="640" w:lineRule="exact"/>
        <w:ind w:leftChars="0" w:right="0" w:firstLine="616" w:firstLineChars="200"/>
        <w:jc w:val="both"/>
        <w:textAlignment w:val="auto"/>
        <w:outlineLvl w:val="9"/>
        <w:rPr>
          <w:rFonts w:hint="default" w:ascii="Times New Roman" w:hAnsi="Times New Roman" w:eastAsia="仿宋_GB2312" w:cs="Times New Roman"/>
          <w:b/>
          <w:bCs/>
          <w:spacing w:val="-6"/>
          <w:w w:val="100"/>
          <w:kern w:val="0"/>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line="640" w:lineRule="exact"/>
        <w:ind w:leftChars="0" w:right="0" w:rightChars="0" w:firstLine="616" w:firstLineChars="200"/>
        <w:contextualSpacing/>
        <w:jc w:val="both"/>
        <w:textAlignment w:val="auto"/>
        <w:outlineLvl w:val="9"/>
        <w:rPr>
          <w:rFonts w:hint="default" w:ascii="Times New Roman" w:hAnsi="Times New Roman" w:eastAsia="仿宋_GB2312" w:cs="Times New Roman"/>
          <w:spacing w:val="-6"/>
          <w:w w:val="100"/>
          <w:kern w:val="0"/>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line="640" w:lineRule="exact"/>
        <w:ind w:right="0" w:rightChars="0"/>
        <w:contextualSpacing/>
        <w:jc w:val="both"/>
        <w:textAlignment w:val="auto"/>
        <w:outlineLvl w:val="9"/>
        <w:rPr>
          <w:rFonts w:hint="default" w:ascii="Times New Roman" w:hAnsi="Times New Roman" w:eastAsia="仿宋_GB2312" w:cs="Times New Roman"/>
          <w:spacing w:val="-6"/>
          <w:w w:val="100"/>
          <w:kern w:val="0"/>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line="640" w:lineRule="exact"/>
        <w:ind w:right="0" w:rightChars="0"/>
        <w:contextualSpacing/>
        <w:jc w:val="both"/>
        <w:textAlignment w:val="auto"/>
        <w:outlineLvl w:val="9"/>
        <w:rPr>
          <w:rFonts w:hint="default" w:ascii="Times New Roman" w:hAnsi="Times New Roman" w:eastAsia="仿宋_GB2312" w:cs="Times New Roman"/>
          <w:spacing w:val="-6"/>
          <w:w w:val="100"/>
          <w:kern w:val="0"/>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line="640" w:lineRule="exact"/>
        <w:ind w:right="0" w:rightChars="0"/>
        <w:contextualSpacing/>
        <w:jc w:val="both"/>
        <w:textAlignment w:val="auto"/>
        <w:outlineLvl w:val="9"/>
        <w:rPr>
          <w:rFonts w:hint="default" w:ascii="Times New Roman" w:hAnsi="Times New Roman" w:eastAsia="仿宋_GB2312" w:cs="Times New Roman"/>
          <w:spacing w:val="-6"/>
          <w:w w:val="100"/>
          <w:kern w:val="0"/>
          <w:sz w:val="32"/>
          <w:szCs w:val="32"/>
          <w:lang w:val="en-US" w:eastAsia="zh-CN"/>
        </w:rPr>
      </w:pPr>
    </w:p>
    <w:sectPr>
      <w:footerReference r:id="rId5" w:type="default"/>
      <w:pgSz w:w="11906" w:h="16838"/>
      <w:pgMar w:top="1871" w:right="1531" w:bottom="1531" w:left="1531" w:header="851" w:footer="992" w:gutter="0"/>
      <w:cols w:space="0" w:num="1"/>
      <w:rtlGutter w:val="0"/>
      <w:docGrid w:type="linesAndChars" w:linePitch="447"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邓慧筠" w:date="2021-05-21T10:52:42Z" w:initials="dhj">
    <w:p w14:paraId="441F269B">
      <w:pPr>
        <w:pStyle w:val="2"/>
      </w:pPr>
      <w:r>
        <w:rPr>
          <w:rFonts w:hint="eastAsia"/>
          <w:lang w:eastAsia="zh-CN"/>
        </w:rPr>
        <w:t>此处应表述为：第三部分“总部企业认定条件”第（二）点“认定条件”的“（</w:t>
      </w:r>
      <w:r>
        <w:rPr>
          <w:rFonts w:hint="eastAsia"/>
          <w:lang w:val="en-US" w:eastAsia="zh-CN"/>
        </w:rPr>
        <w:t>6</w:t>
      </w:r>
      <w:r>
        <w:rPr>
          <w:rFonts w:hint="eastAsia"/>
          <w:lang w:eastAsia="zh-CN"/>
        </w:rPr>
        <w:t>）建筑业总部企业”</w:t>
      </w:r>
    </w:p>
  </w:comment>
  <w:comment w:id="1" w:author="邓慧筠" w:date="2021-05-21T10:56:29Z" w:initials="dhj">
    <w:p w14:paraId="431B7CA2">
      <w:pPr>
        <w:pStyle w:val="2"/>
        <w:rPr>
          <w:rFonts w:hint="eastAsia" w:eastAsia="仿宋_GB2312"/>
          <w:lang w:eastAsia="zh-CN"/>
        </w:rPr>
      </w:pPr>
      <w:r>
        <w:rPr>
          <w:rFonts w:hint="eastAsia"/>
          <w:lang w:eastAsia="zh-CN"/>
        </w:rPr>
        <w:t>此处应表述为：第五部分“组织实施”的第（六）点</w:t>
      </w:r>
    </w:p>
  </w:comment>
  <w:comment w:id="2" w:author="邓慧筠" w:date="2021-05-21T10:58:36Z" w:initials="dhj">
    <w:p w14:paraId="06A17616">
      <w:pPr>
        <w:pStyle w:val="2"/>
        <w:rPr>
          <w:rFonts w:hint="eastAsia" w:eastAsia="仿宋_GB2312"/>
          <w:lang w:eastAsia="zh-CN"/>
        </w:rPr>
      </w:pPr>
      <w:r>
        <w:rPr>
          <w:rFonts w:hint="eastAsia"/>
          <w:lang w:eastAsia="zh-CN"/>
        </w:rPr>
        <w:t>此处应表述为：“第（三）项”</w:t>
      </w:r>
    </w:p>
  </w:comment>
  <w:comment w:id="3" w:author="邓慧筠" w:date="2021-05-21T11:01:19Z" w:initials="dhj">
    <w:p w14:paraId="48856282">
      <w:pPr>
        <w:pStyle w:val="2"/>
        <w:rPr>
          <w:rFonts w:hint="default" w:eastAsia="仿宋_GB2312"/>
          <w:lang w:val="en-US" w:eastAsia="zh-CN"/>
        </w:rPr>
      </w:pPr>
      <w:r>
        <w:rPr>
          <w:rFonts w:hint="eastAsia"/>
          <w:lang w:eastAsia="zh-CN"/>
        </w:rPr>
        <w:t>第</w:t>
      </w:r>
      <w:r>
        <w:rPr>
          <w:rFonts w:hint="eastAsia"/>
          <w:lang w:val="en-US" w:eastAsia="zh-CN"/>
        </w:rPr>
        <w:t>2目</w:t>
      </w:r>
    </w:p>
  </w:comment>
  <w:comment w:id="4" w:author="邓慧筠" w:date="2021-05-21T10:44:12Z" w:initials="dhj">
    <w:p w14:paraId="41E602F6">
      <w:pPr>
        <w:pStyle w:val="2"/>
        <w:rPr>
          <w:rFonts w:hint="eastAsia" w:eastAsia="仿宋_GB2312"/>
          <w:lang w:eastAsia="zh-CN"/>
        </w:rPr>
      </w:pPr>
      <w:r>
        <w:rPr>
          <w:rFonts w:hint="eastAsia"/>
          <w:lang w:eastAsia="zh-CN"/>
        </w:rPr>
        <w:t>此处应表述为：“第（一）项”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41F269B" w15:done="0"/>
  <w15:commentEx w15:paraId="431B7CA2" w15:done="0"/>
  <w15:commentEx w15:paraId="06A17616" w15:done="0"/>
  <w15:commentEx w15:paraId="48856282" w15:done="0"/>
  <w15:commentEx w15:paraId="41E602F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邓慧筠">
    <w15:presenceInfo w15:providerId="None" w15:userId="邓慧筠"/>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revisionView w:markup="0"/>
  <w:trackRevisions w:val="1"/>
  <w:documentProtection w:enforcement="0"/>
  <w:defaultTabStop w:val="420"/>
  <w:drawingGridHorizontalSpacing w:val="308"/>
  <w:drawingGridVerticalSpacing w:val="224"/>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97308C"/>
    <w:rsid w:val="01C46650"/>
    <w:rsid w:val="06257F2F"/>
    <w:rsid w:val="062D18B8"/>
    <w:rsid w:val="06A91084"/>
    <w:rsid w:val="0CD20A6E"/>
    <w:rsid w:val="0DEB1774"/>
    <w:rsid w:val="11277133"/>
    <w:rsid w:val="11AA34FC"/>
    <w:rsid w:val="141B7E15"/>
    <w:rsid w:val="145F1EA4"/>
    <w:rsid w:val="16A5154F"/>
    <w:rsid w:val="17916203"/>
    <w:rsid w:val="1EF87228"/>
    <w:rsid w:val="2C1236C2"/>
    <w:rsid w:val="2C546668"/>
    <w:rsid w:val="334C076E"/>
    <w:rsid w:val="34F52439"/>
    <w:rsid w:val="4097308C"/>
    <w:rsid w:val="42437757"/>
    <w:rsid w:val="458B4F3F"/>
    <w:rsid w:val="45C52222"/>
    <w:rsid w:val="47D66ACD"/>
    <w:rsid w:val="4A796DC7"/>
    <w:rsid w:val="4DAE7F03"/>
    <w:rsid w:val="4E2039EC"/>
    <w:rsid w:val="52242A34"/>
    <w:rsid w:val="5C297EA0"/>
    <w:rsid w:val="5DEE5B9A"/>
    <w:rsid w:val="5E2160A4"/>
    <w:rsid w:val="5F7640F1"/>
    <w:rsid w:val="6855299E"/>
    <w:rsid w:val="699F659C"/>
    <w:rsid w:val="72455E17"/>
    <w:rsid w:val="7391242D"/>
    <w:rsid w:val="7FF32A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LineNumbers/>
      <w:adjustRightInd w:val="0"/>
      <w:snapToGrid w:val="0"/>
      <w:spacing w:line="574" w:lineRule="exact"/>
      <w:jc w:val="both"/>
    </w:pPr>
    <w:rPr>
      <w:rFonts w:ascii="仿宋_GB2312" w:hAnsi="Times New Roman" w:eastAsia="仿宋_GB2312" w:cs="Times New Roman"/>
      <w:snapToGrid w:val="0"/>
      <w:spacing w:val="-6"/>
      <w:kern w:val="3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2021-01-26T08:02:00Z</dcterms:created>
  <dc:creator>Administrator</dc:creator>
  <cp:lastModifiedBy>紫琪 .</cp:lastModifiedBy>
  <cp:lastPrinted>2021-05-21T02:41:00Z</cp:lastPrinted>
  <dcterms:modified xsi:type="dcterms:W3CDTF">2021-05-26T08:21:33Z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