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80"/>
        </w:tabs>
        <w:spacing w:line="240" w:lineRule="atLeast"/>
        <w:rPr>
          <w:rFonts w:eastAsia="仿宋"/>
          <w:spacing w:val="20"/>
          <w:sz w:val="52"/>
          <w:szCs w:val="52"/>
        </w:rPr>
      </w:pPr>
      <w:r>
        <w:rPr>
          <w:rFonts w:hint="eastAsia" w:eastAsia="方正小标宋简体"/>
          <w:color w:val="FF0000"/>
          <w:spacing w:val="30"/>
          <w:w w:val="90"/>
          <w:sz w:val="58"/>
          <w:szCs w:val="58"/>
        </w:rPr>
        <w:t>大涌镇城管住建和农业农村局文件</w:t>
      </w:r>
      <w:r>
        <w:rPr>
          <w:spacing w:val="20"/>
          <w:sz w:val="52"/>
          <w:szCs w:val="52"/>
        </w:rPr>
        <w:t xml:space="preserve">       </w:t>
      </w:r>
      <w:r>
        <w:rPr>
          <w:rFonts w:hint="eastAsia"/>
          <w:spacing w:val="20"/>
          <w:sz w:val="52"/>
          <w:szCs w:val="52"/>
        </w:rPr>
        <w:t xml:space="preserve">                  </w:t>
      </w:r>
    </w:p>
    <w:p>
      <w:pPr>
        <w:tabs>
          <w:tab w:val="left" w:pos="7380"/>
        </w:tabs>
        <w:spacing w:line="560" w:lineRule="exact"/>
        <w:ind w:firstLine="5555" w:firstLineChars="2050"/>
        <w:jc w:val="left"/>
      </w:pPr>
      <w:r>
        <w:rPr>
          <w:rFonts w:ascii="创艺简标宋" w:hAnsi="宋体" w:eastAsia="创艺简标宋"/>
          <w:bCs/>
          <w:color w:val="FF0000"/>
          <w:sz w:val="28"/>
          <w:szCs w:val="28"/>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15240</wp:posOffset>
                </wp:positionV>
                <wp:extent cx="5565140" cy="18415"/>
                <wp:effectExtent l="0" t="28575" r="16510" b="29210"/>
                <wp:wrapNone/>
                <wp:docPr id="1" name="直线 2"/>
                <wp:cNvGraphicFramePr/>
                <a:graphic xmlns:a="http://schemas.openxmlformats.org/drawingml/2006/main">
                  <a:graphicData uri="http://schemas.microsoft.com/office/word/2010/wordprocessingShape">
                    <wps:wsp>
                      <wps:cNvCnPr/>
                      <wps:spPr>
                        <a:xfrm flipV="1">
                          <a:off x="0" y="0"/>
                          <a:ext cx="5565140" cy="1841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4.25pt;margin-top:1.2pt;height:1.45pt;width:438.2pt;z-index:251660288;mso-width-relative:page;mso-height-relative:page;" filled="f" stroked="t" coordsize="21600,21600" o:gfxdata="UEsDBAoAAAAAAIdO4kAAAAAAAAAAAAAAAAAEAAAAZHJzL1BLAwQUAAAACACHTuJAxFR1P9YAAAAG&#10;AQAADwAAAGRycy9kb3ducmV2LnhtbE2OwU7DMBBE70j8g7VIXFDrpJDihmwqFUEPvVG49ObGSxIa&#10;r6PYbcrf1z3BcTSjN69Ynm0nTjT41jFCOk1AEFfOtFwjfH2+TxQIHzQb3TkmhF/ysCxvbwqdGzfy&#10;B522oRYRwj7XCE0IfS6lrxqy2k9dTxy7bzdYHWIcamkGPUa47eQsSebS6pbjQ6N7em2oOmyPFmGd&#10;buTDTmVq59c/b9Wir9OVHxHv79LkBUSgc/gbw1U/qkMZnfbuyMaLDmGisrhEmD2BiLWaPy9A7BGy&#10;R5BlIf/rlxdQSwMEFAAAAAgAh07iQHEEP5ndAQAAogMAAA4AAABkcnMvZTJvRG9jLnhtbK1TS44T&#10;MRDdI3EHy3vS3dFkGLXSmcWEsEEQiRn2FX+6LfyT7UknZ+EarNhwnLkGZXcTfhuE6IVlVz2/rveq&#10;vL49GU2OIkTlbEebRU2JsMxxZfuOPtzvXtxQEhNYDtpZ0dGziPR28/zZevStWLrBaS4CQRIb29F3&#10;dEjJt1UV2SAMxIXzwmJSumAg4TH0FQ8wIrvR1bKur6vRBe6DYyJGjG6nJN0UfikFS++kjCIR3VGs&#10;LZU1lPWQ12qzhrYP4AfF5jLgH6owoCz+9EK1hQTkMag/qIxiwUUn04I5UzkpFRNFA6pp6t/UvB/A&#10;i6IFzYn+YlP8f7Ts7XEfiOLYO0osGGzR06fPT1++kmX2ZvSxRcid3Yf5FP0+ZKEnGQyRWvkP+WqO&#10;oBhyKs6eL86KUyIMg6vV9aq5wgYwzDU3V80qs1cTTb7sQ0yvhTMkbzqqlc3CoYXjm5gm6HdIDmtL&#10;RmR92awyJ+DgSA0Jt8ajlITN/Hg/zC2JTiu+U1rnizH0hzsdyBFwIHa7Gr+5kl9g+V9biMOEK6kM&#10;g3YQwF9ZTtLZo1UWZ5rmSozglGiBTyDvCjKB0n+DRBO0RS+y1ZO5eXdw/IyNefRB9QMa0pQqcwYH&#10;oTg3D22etJ/PhenH09p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RUdT/WAAAABgEAAA8AAAAA&#10;AAAAAQAgAAAAIgAAAGRycy9kb3ducmV2LnhtbFBLAQIUABQAAAAIAIdO4kBxBD+Z3QEAAKIDAAAO&#10;AAAAAAAAAAEAIAAAACUBAABkcnMvZTJvRG9jLnhtbFBLBQYAAAAABgAGAFkBAAB0BQAAAAA=&#10;">
                <v:fill on="f" focussize="0,0"/>
                <v:stroke weight="4.5pt" color="#FF0000" linestyle="thickThin" joinstyle="round"/>
                <v:imagedata o:title=""/>
                <o:lock v:ext="edit" aspectratio="f"/>
              </v:line>
            </w:pict>
          </mc:Fallback>
        </mc:AlternateContent>
      </w:r>
      <w:r>
        <w:rPr>
          <w:rFonts w:hint="eastAsia" w:eastAsia="楷体_GB2312"/>
          <w:color w:val="FF0000"/>
          <w:spacing w:val="20"/>
          <w:sz w:val="28"/>
          <w:szCs w:val="28"/>
        </w:rPr>
        <w:t xml:space="preserve">              </w:t>
      </w:r>
      <w:bookmarkStart w:id="3" w:name="_GoBack"/>
      <w:bookmarkEnd w:id="3"/>
    </w:p>
    <w:p>
      <w:pPr>
        <w:contextualSpacing/>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中山市大涌镇政府投资项目管理办法（试行）</w:t>
      </w:r>
    </w:p>
    <w:p>
      <w:pPr>
        <w:contextualSpacing/>
        <w:jc w:val="center"/>
        <w:rPr>
          <w:rFonts w:hint="default" w:ascii="Times New Roman" w:eastAsia="黑体"/>
          <w:color w:val="000000"/>
          <w:kern w:val="0"/>
          <w:lang w:val="en-US" w:eastAsia="zh-CN"/>
        </w:rPr>
      </w:pPr>
      <w:r>
        <w:rPr>
          <w:rFonts w:hint="eastAsia" w:ascii="Times New Roman" w:eastAsia="黑体"/>
          <w:color w:val="000000"/>
          <w:kern w:val="0"/>
          <w:lang w:val="en-US" w:eastAsia="zh-CN"/>
        </w:rPr>
        <w:t>（征求意见最终修改版）</w:t>
      </w:r>
    </w:p>
    <w:p>
      <w:pPr>
        <w:contextualSpacing/>
        <w:jc w:val="center"/>
        <w:rPr>
          <w:rFonts w:ascii="Times New Roman" w:eastAsia="黑体"/>
          <w:color w:val="000000"/>
          <w:kern w:val="0"/>
        </w:rPr>
      </w:pPr>
      <w:r>
        <w:rPr>
          <w:rFonts w:ascii="Times New Roman" w:eastAsia="黑体"/>
          <w:color w:val="000000"/>
          <w:kern w:val="0"/>
        </w:rPr>
        <w:t>第一章  总  则</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kern w:val="0"/>
        </w:rPr>
        <w:t>第一条</w:t>
      </w:r>
      <w:r>
        <w:rPr>
          <w:rFonts w:ascii="Times New Roman"/>
          <w:color w:val="000000"/>
          <w:kern w:val="0"/>
        </w:rPr>
        <w:t xml:space="preserve">  </w:t>
      </w:r>
      <w:r>
        <w:rPr>
          <w:rFonts w:ascii="Times New Roman"/>
          <w:color w:val="000000" w:themeColor="text1"/>
          <w:kern w:val="0"/>
          <w14:textFill>
            <w14:solidFill>
              <w14:schemeClr w14:val="tx1"/>
            </w14:solidFill>
          </w14:textFill>
        </w:rPr>
        <w:t>为加强</w:t>
      </w:r>
      <w:r>
        <w:rPr>
          <w:rFonts w:hint="eastAsia" w:ascii="Times New Roman"/>
          <w:color w:val="000000" w:themeColor="text1"/>
          <w:kern w:val="0"/>
          <w14:textFill>
            <w14:solidFill>
              <w14:schemeClr w14:val="tx1"/>
            </w14:solidFill>
          </w14:textFill>
        </w:rPr>
        <w:t>我镇</w:t>
      </w:r>
      <w:r>
        <w:rPr>
          <w:rFonts w:ascii="Times New Roman"/>
          <w:color w:val="000000" w:themeColor="text1"/>
          <w:kern w:val="0"/>
          <w14:textFill>
            <w14:solidFill>
              <w14:schemeClr w14:val="tx1"/>
            </w14:solidFill>
          </w14:textFill>
        </w:rPr>
        <w:t>政府投资管理，提高投资决策的科学化</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民主化水平，根据</w:t>
      </w:r>
      <w:r>
        <w:rPr>
          <w:rFonts w:hint="eastAsia" w:ascii="Times New Roman"/>
          <w:color w:val="000000" w:themeColor="text1"/>
          <w:kern w:val="0"/>
          <w:szCs w:val="32"/>
          <w14:textFill>
            <w14:solidFill>
              <w14:schemeClr w14:val="tx1"/>
            </w14:solidFill>
          </w14:textFill>
        </w:rPr>
        <w:t>《中共中央国务院关于深化投融资体制改革的意见》和</w:t>
      </w:r>
      <w:r>
        <w:rPr>
          <w:rFonts w:hint="eastAsia" w:ascii="Times New Roman"/>
          <w:color w:val="000000" w:themeColor="text1"/>
          <w:kern w:val="0"/>
          <w14:textFill>
            <w14:solidFill>
              <w14:schemeClr w14:val="tx1"/>
            </w14:solidFill>
          </w14:textFill>
        </w:rPr>
        <w:t>《政府投资条例》（国务院令第712号）、《中山市人民政府投资项目管理办法》</w:t>
      </w:r>
      <w:r>
        <w:rPr>
          <w:rFonts w:hint="eastAsia" w:ascii="Times New Roman"/>
          <w:color w:val="000000" w:themeColor="text1"/>
          <w:kern w:val="0"/>
          <w:highlight w:val="none"/>
          <w14:textFill>
            <w14:solidFill>
              <w14:schemeClr w14:val="tx1"/>
            </w14:solidFill>
          </w14:textFill>
        </w:rPr>
        <w:t>（中府[2020]86号）</w:t>
      </w:r>
      <w:r>
        <w:rPr>
          <w:rFonts w:hint="eastAsia" w:ascii="Times New Roman"/>
          <w:color w:val="000000" w:themeColor="text1"/>
          <w:kern w:val="0"/>
          <w14:textFill>
            <w14:solidFill>
              <w14:schemeClr w14:val="tx1"/>
            </w14:solidFill>
          </w14:textFill>
        </w:rPr>
        <w:t>等</w:t>
      </w:r>
      <w:r>
        <w:rPr>
          <w:rFonts w:ascii="Times New Roman"/>
          <w:color w:val="000000" w:themeColor="text1"/>
          <w:kern w:val="0"/>
          <w14:textFill>
            <w14:solidFill>
              <w14:schemeClr w14:val="tx1"/>
            </w14:solidFill>
          </w14:textFill>
        </w:rPr>
        <w:t>有关</w:t>
      </w:r>
      <w:r>
        <w:rPr>
          <w:rFonts w:hint="eastAsia" w:ascii="Times New Roman"/>
          <w:color w:val="000000" w:themeColor="text1"/>
          <w:kern w:val="0"/>
          <w14:textFill>
            <w14:solidFill>
              <w14:schemeClr w14:val="tx1"/>
            </w14:solidFill>
          </w14:textFill>
        </w:rPr>
        <w:t>规定</w:t>
      </w:r>
      <w:r>
        <w:rPr>
          <w:rFonts w:ascii="Times New Roman"/>
          <w:color w:val="000000" w:themeColor="text1"/>
          <w:kern w:val="0"/>
          <w14:textFill>
            <w14:solidFill>
              <w14:schemeClr w14:val="tx1"/>
            </w14:solidFill>
          </w14:textFill>
        </w:rPr>
        <w:t>，结合我</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实际，制定本办法。</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 xml:space="preserve">第二条  </w:t>
      </w:r>
      <w:r>
        <w:rPr>
          <w:rFonts w:ascii="Times New Roman"/>
          <w:color w:val="000000" w:themeColor="text1"/>
          <w:kern w:val="0"/>
          <w14:textFill>
            <w14:solidFill>
              <w14:schemeClr w14:val="tx1"/>
            </w14:solidFill>
          </w14:textFill>
        </w:rPr>
        <w:t>本办法所称政府投资，是指在</w:t>
      </w:r>
      <w:r>
        <w:rPr>
          <w:rFonts w:hint="eastAsia" w:ascii="Times New Roman"/>
          <w:color w:val="000000" w:themeColor="text1"/>
          <w:kern w:val="0"/>
          <w14:textFill>
            <w14:solidFill>
              <w14:schemeClr w14:val="tx1"/>
            </w14:solidFill>
          </w14:textFill>
        </w:rPr>
        <w:t>大涌镇行政区域内使用财政资金投资项目以及</w:t>
      </w:r>
      <w:r>
        <w:rPr>
          <w:rFonts w:hint="eastAsia" w:ascii="Times New Roman"/>
          <w:color w:val="000000" w:themeColor="text1"/>
          <w:kern w:val="0"/>
          <w:highlight w:val="none"/>
          <w14:textFill>
            <w14:solidFill>
              <w14:schemeClr w14:val="tx1"/>
            </w14:solidFill>
          </w14:textFill>
        </w:rPr>
        <w:t>财政</w:t>
      </w:r>
      <w:r>
        <w:rPr>
          <w:rFonts w:hint="eastAsia" w:ascii="Times New Roman"/>
          <w:color w:val="000000" w:themeColor="text1"/>
          <w:kern w:val="0"/>
          <w14:textFill>
            <w14:solidFill>
              <w14:schemeClr w14:val="tx1"/>
            </w14:solidFill>
          </w14:textFill>
        </w:rPr>
        <w:t>下拨资金的村（社区）进行的固定资产投资建设活动</w:t>
      </w:r>
      <w:r>
        <w:rPr>
          <w:rFonts w:ascii="Times New Roman"/>
          <w:color w:val="000000" w:themeColor="text1"/>
          <w:kern w:val="0"/>
          <w14:textFill>
            <w14:solidFill>
              <w14:schemeClr w14:val="tx1"/>
            </w14:solidFill>
          </w14:textFill>
        </w:rPr>
        <w:t>，包括新建、扩建、改建、技术改造等。政府投资资金应当投向市场不能有效配置资源的公共领域项目，以非经营性项目为主，包括：</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（一）农业、水利、能源、交通、城乡公用设施、生态环境保护等公共基础设施项目；</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（二）教育、科技、文化、卫生、体育、社会保障、资源节约等</w:t>
      </w:r>
      <w:r>
        <w:rPr>
          <w:rFonts w:hint="eastAsia" w:ascii="Times New Roman"/>
          <w:color w:val="000000" w:themeColor="text1"/>
          <w:kern w:val="0"/>
          <w14:textFill>
            <w14:solidFill>
              <w14:schemeClr w14:val="tx1"/>
            </w14:solidFill>
          </w14:textFill>
        </w:rPr>
        <w:t>社会公益</w:t>
      </w:r>
      <w:r>
        <w:rPr>
          <w:rFonts w:ascii="Times New Roman"/>
          <w:color w:val="000000" w:themeColor="text1"/>
          <w:kern w:val="0"/>
          <w14:textFill>
            <w14:solidFill>
              <w14:schemeClr w14:val="tx1"/>
            </w14:solidFill>
          </w14:textFill>
        </w:rPr>
        <w:t>服务项目；</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（三）其他政府投资的建设项目。</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 xml:space="preserve">第三条 </w:t>
      </w:r>
      <w:r>
        <w:rPr>
          <w:rFonts w:ascii="Times New Roman"/>
          <w:color w:val="000000" w:themeColor="text1"/>
          <w:kern w:val="0"/>
          <w14:textFill>
            <w14:solidFill>
              <w14:schemeClr w14:val="tx1"/>
            </w14:solidFill>
          </w14:textFill>
        </w:rPr>
        <w:t xml:space="preserve"> 根据资金来源和项目性质，政府投资可分别采取直接投资、资本金注入、投资补助、贷款贴息等方式。</w:t>
      </w:r>
    </w:p>
    <w:p>
      <w:pPr>
        <w:ind w:firstLine="622" w:firstLineChars="200"/>
        <w:contextualSpacing/>
        <w:rPr>
          <w:rFonts w:ascii="Times New Roman" w:eastAsia="楷体_GB2312"/>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 xml:space="preserve">第四条  </w:t>
      </w:r>
      <w:r>
        <w:rPr>
          <w:rFonts w:ascii="Times New Roman"/>
          <w:color w:val="000000" w:themeColor="text1"/>
          <w:kern w:val="0"/>
          <w14:textFill>
            <w14:solidFill>
              <w14:schemeClr w14:val="tx1"/>
            </w14:solidFill>
          </w14:textFill>
        </w:rPr>
        <w:t>政府采取直接投资、资本金注入方式投资的项目（以下统称政府投资项目），应当审批项目建议书、可行性研究报告、初步设计、项目概算、项目预算。</w:t>
      </w:r>
    </w:p>
    <w:p>
      <w:pPr>
        <w:spacing w:line="548" w:lineRule="exact"/>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 xml:space="preserve">第五条 </w:t>
      </w:r>
      <w:r>
        <w:rPr>
          <w:rFonts w:ascii="Times New Roman"/>
          <w:color w:val="000000" w:themeColor="text1"/>
          <w:kern w:val="0"/>
          <w14:textFill>
            <w14:solidFill>
              <w14:schemeClr w14:val="tx1"/>
            </w14:solidFill>
          </w14:textFill>
        </w:rPr>
        <w:t xml:space="preserve"> 政府投资项目应遵循量入为出、综合平衡的原则，并确保续建项目的资金需求。</w:t>
      </w:r>
    </w:p>
    <w:p>
      <w:pPr>
        <w:spacing w:line="548" w:lineRule="exact"/>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 xml:space="preserve">第六条 </w:t>
      </w:r>
      <w:r>
        <w:rPr>
          <w:rFonts w:ascii="Times New Roman"/>
          <w:color w:val="000000" w:themeColor="text1"/>
          <w:kern w:val="0"/>
          <w14:textFill>
            <w14:solidFill>
              <w14:schemeClr w14:val="tx1"/>
            </w14:solidFill>
          </w14:textFill>
        </w:rPr>
        <w:t xml:space="preserve"> 政府投资项目的建设，必须严格执行基本建设程序，坚持估算控制概算、概算控制预算、预算控制结算、结算控制决算，禁止边勘察、边设计、边施工。项目建设实行项目法人责任制或主管部门责任制、工程质量终身责任制、招标投标制、工程监理制和合同管理制，确保工程质量。</w:t>
      </w:r>
    </w:p>
    <w:p>
      <w:pPr>
        <w:spacing w:line="548" w:lineRule="exact"/>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 xml:space="preserve">第七条 </w:t>
      </w:r>
      <w:r>
        <w:rPr>
          <w:rFonts w:ascii="Times New Roman"/>
          <w:color w:val="000000" w:themeColor="text1"/>
          <w:kern w:val="0"/>
          <w14:textFill>
            <w14:solidFill>
              <w14:schemeClr w14:val="tx1"/>
            </w14:solidFill>
          </w14:textFill>
        </w:rPr>
        <w:t xml:space="preserve"> </w:t>
      </w:r>
      <w:r>
        <w:rPr>
          <w:rFonts w:hint="eastAsia" w:ascii="Times New Roman"/>
          <w:color w:val="000000" w:themeColor="text1"/>
          <w:kern w:val="0"/>
          <w14:textFill>
            <w14:solidFill>
              <w14:schemeClr w14:val="tx1"/>
            </w14:solidFill>
          </w14:textFill>
        </w:rPr>
        <w:t>镇经济发展和科技统计局是镇投资主管部门</w:t>
      </w:r>
      <w:r>
        <w:rPr>
          <w:rFonts w:ascii="Times New Roman"/>
          <w:color w:val="000000" w:themeColor="text1"/>
          <w:kern w:val="0"/>
          <w14:textFill>
            <w14:solidFill>
              <w14:schemeClr w14:val="tx1"/>
            </w14:solidFill>
          </w14:textFill>
        </w:rPr>
        <w:t>，负责审批政府投资项目建议书、可行性研究报告、项目概算。</w:t>
      </w:r>
    </w:p>
    <w:p>
      <w:pPr>
        <w:spacing w:line="548" w:lineRule="exact"/>
        <w:ind w:firstLine="622" w:firstLineChars="200"/>
        <w:contextualSpacing/>
        <w:rPr>
          <w:rFonts w:ascii="Times New Roman"/>
          <w:color w:val="FF0000"/>
          <w:kern w:val="0"/>
        </w:rPr>
      </w:pPr>
      <w:r>
        <w:rPr>
          <w:rFonts w:ascii="Times New Roman"/>
          <w:color w:val="FF0000"/>
          <w:kern w:val="0"/>
        </w:rPr>
        <w:t>政府投资项目预算、结算</w:t>
      </w:r>
      <w:r>
        <w:rPr>
          <w:rFonts w:hint="eastAsia" w:ascii="Times New Roman"/>
          <w:color w:val="FF0000"/>
          <w:kern w:val="0"/>
        </w:rPr>
        <w:t>审核由相应的</w:t>
      </w:r>
      <w:r>
        <w:rPr>
          <w:rFonts w:hint="eastAsia" w:ascii="Times New Roman"/>
          <w:color w:val="FF0000"/>
          <w:kern w:val="0"/>
          <w:lang w:val="en-US" w:eastAsia="zh-CN"/>
        </w:rPr>
        <w:t>行业</w:t>
      </w:r>
      <w:r>
        <w:rPr>
          <w:rFonts w:hint="eastAsia" w:ascii="Times New Roman"/>
          <w:color w:val="FF0000"/>
          <w:kern w:val="0"/>
        </w:rPr>
        <w:t>主管部门负责进行审核，镇财政分局负责审查批复政府投资项目工程竣工财务决算（上级另有规定的除外）</w:t>
      </w:r>
      <w:r>
        <w:rPr>
          <w:rFonts w:ascii="Times New Roman"/>
          <w:color w:val="FF0000"/>
          <w:kern w:val="0"/>
        </w:rPr>
        <w:t>。</w:t>
      </w:r>
    </w:p>
    <w:p>
      <w:pPr>
        <w:spacing w:line="548" w:lineRule="exact"/>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市自然资源、</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生态环境</w:t>
      </w:r>
      <w:r>
        <w:rPr>
          <w:rFonts w:hint="eastAsia" w:ascii="Times New Roman"/>
          <w:color w:val="000000" w:themeColor="text1"/>
          <w:kern w:val="0"/>
          <w14:textFill>
            <w14:solidFill>
              <w14:schemeClr w14:val="tx1"/>
            </w14:solidFill>
          </w14:textFill>
        </w:rPr>
        <w:t>保护</w:t>
      </w:r>
      <w:r>
        <w:rPr>
          <w:rFonts w:ascii="Times New Roman"/>
          <w:color w:val="000000" w:themeColor="text1"/>
          <w:kern w:val="0"/>
          <w14:textFill>
            <w14:solidFill>
              <w14:schemeClr w14:val="tx1"/>
            </w14:solidFill>
          </w14:textFill>
        </w:rPr>
        <w:t>、</w:t>
      </w:r>
      <w:r>
        <w:rPr>
          <w:rFonts w:hint="eastAsia" w:ascii="Times New Roman"/>
          <w:color w:val="000000" w:themeColor="text1"/>
          <w:kern w:val="0"/>
          <w14:textFill>
            <w14:solidFill>
              <w14:schemeClr w14:val="tx1"/>
            </w14:solidFill>
          </w14:textFill>
        </w:rPr>
        <w:t>镇城管住建和农业农村</w:t>
      </w:r>
      <w:r>
        <w:rPr>
          <w:rFonts w:ascii="Times New Roman"/>
          <w:color w:val="000000" w:themeColor="text1"/>
          <w:kern w:val="0"/>
          <w14:textFill>
            <w14:solidFill>
              <w14:schemeClr w14:val="tx1"/>
            </w14:solidFill>
          </w14:textFill>
        </w:rPr>
        <w:t>、</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应急管理等部门按其职责对政府投资项目</w:t>
      </w:r>
      <w:r>
        <w:rPr>
          <w:rFonts w:hint="eastAsia" w:ascii="Times New Roman"/>
          <w:color w:val="000000" w:themeColor="text1"/>
          <w:kern w:val="0"/>
          <w14:textFill>
            <w14:solidFill>
              <w14:schemeClr w14:val="tx1"/>
            </w14:solidFill>
          </w14:textFill>
        </w:rPr>
        <w:t>进行</w:t>
      </w:r>
      <w:r>
        <w:rPr>
          <w:rFonts w:ascii="Times New Roman"/>
          <w:color w:val="000000" w:themeColor="text1"/>
          <w:kern w:val="0"/>
          <w14:textFill>
            <w14:solidFill>
              <w14:schemeClr w14:val="tx1"/>
            </w14:solidFill>
          </w14:textFill>
        </w:rPr>
        <w:t>技术审查。</w:t>
      </w:r>
    </w:p>
    <w:p>
      <w:pPr>
        <w:spacing w:line="548" w:lineRule="exact"/>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审计及其他有关部门按其职责对政府投资项目进行监督管理。</w:t>
      </w:r>
    </w:p>
    <w:p>
      <w:pPr>
        <w:spacing w:line="548" w:lineRule="exact"/>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项目建设单位是政府投资项目的实施主体和投资控制的责任主体，应当按照基本建设程序及有关规定，做好政府投资项目的实施工作和投资控制工作。项目建设单位应加强政府投资项目的前期工作，确保前期工作达到规定深度要求，同时应当对项目建议书、可行性研究报告、初步设计以及依法应当附具的其</w:t>
      </w:r>
      <w:r>
        <w:rPr>
          <w:rFonts w:hint="eastAsia" w:ascii="Times New Roman"/>
          <w:color w:val="000000" w:themeColor="text1"/>
          <w:kern w:val="0"/>
          <w14:textFill>
            <w14:solidFill>
              <w14:schemeClr w14:val="tx1"/>
            </w14:solidFill>
          </w14:textFill>
        </w:rPr>
        <w:t>他</w:t>
      </w:r>
      <w:r>
        <w:rPr>
          <w:rFonts w:ascii="Times New Roman"/>
          <w:color w:val="000000" w:themeColor="text1"/>
          <w:kern w:val="0"/>
          <w14:textFill>
            <w14:solidFill>
              <w14:schemeClr w14:val="tx1"/>
            </w14:solidFill>
          </w14:textFill>
        </w:rPr>
        <w:t>文件真实性负责。行业主管部门和项目建设单位应当在立项批复后确定项目责任人，负责项目全过程实施，并定期向</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报告项目各个阶段进展情况。</w:t>
      </w:r>
    </w:p>
    <w:p>
      <w:pPr>
        <w:contextualSpacing/>
        <w:jc w:val="center"/>
        <w:rPr>
          <w:rFonts w:ascii="Times New Roman" w:eastAsia="黑体"/>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第二章　项目决策</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第八条</w:t>
      </w:r>
      <w:r>
        <w:rPr>
          <w:rFonts w:ascii="Times New Roman"/>
          <w:color w:val="000000" w:themeColor="text1"/>
          <w:kern w:val="0"/>
          <w14:textFill>
            <w14:solidFill>
              <w14:schemeClr w14:val="tx1"/>
            </w14:solidFill>
          </w14:textFill>
        </w:rPr>
        <w:t xml:space="preserve">  政府投资资金安排决策必须坚持民主和科学的决策制度，实行集体决策和依法决策。对涉及政府投资资金安排的固定资产投资项目，实行项目库管理制度，构建预备项目库，加强项目储备谋划。</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投资规模10万元以下的政府投资项目，由建设单位通过内部会议、村民代表大会等集体决策，提出申请，经镇上级行业主管部门、分管领导审批同意后实施。</w:t>
      </w:r>
    </w:p>
    <w:p>
      <w:pPr>
        <w:ind w:firstLine="622" w:firstLineChars="200"/>
        <w:contextualSpacing/>
        <w:rPr>
          <w:rFonts w:ascii="Times New Roman"/>
          <w:color w:val="000000" w:themeColor="text1"/>
          <w:kern w:val="0"/>
          <w:szCs w:val="32"/>
          <w14:textFill>
            <w14:solidFill>
              <w14:schemeClr w14:val="tx1"/>
            </w14:solidFill>
          </w14:textFill>
        </w:rPr>
      </w:pPr>
      <w:r>
        <w:rPr>
          <w:rFonts w:hint="eastAsia" w:ascii="Times New Roman"/>
          <w:color w:val="000000" w:themeColor="text1"/>
          <w:kern w:val="0"/>
          <w14:textFill>
            <w14:solidFill>
              <w14:schemeClr w14:val="tx1"/>
            </w14:solidFill>
          </w14:textFill>
        </w:rPr>
        <w:t>投资规模10万元以上的政府投资项目，由建设单位通过部门内部会议、村民代表大会等集体决策，提出申请，经镇上级主管部门、分管领导审批同意后，由镇党委会研究决定，审议同意后实施。</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szCs w:val="32"/>
          <w14:textFill>
            <w14:solidFill>
              <w14:schemeClr w14:val="tx1"/>
            </w14:solidFill>
          </w14:textFill>
        </w:rPr>
        <w:t>应急抢险救灾工程项目按《中山市应急抢险救灾工程管理办法》（中府办〔2019〕30号）有关规定确定实施。</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第九条</w:t>
      </w:r>
      <w:r>
        <w:rPr>
          <w:rFonts w:ascii="Times New Roman"/>
          <w:color w:val="000000" w:themeColor="text1"/>
          <w:kern w:val="0"/>
          <w14:textFill>
            <w14:solidFill>
              <w14:schemeClr w14:val="tx1"/>
            </w14:solidFill>
          </w14:textFill>
        </w:rPr>
        <w:t xml:space="preserve">  预备项目库的项目来源包括：国家、省</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市</w:t>
      </w:r>
      <w:r>
        <w:rPr>
          <w:rFonts w:hint="eastAsia" w:ascii="Times New Roman"/>
          <w:color w:val="000000" w:themeColor="text1"/>
          <w:kern w:val="0"/>
          <w14:textFill>
            <w14:solidFill>
              <w14:schemeClr w14:val="tx1"/>
            </w14:solidFill>
          </w14:textFill>
        </w:rPr>
        <w:t>和镇</w:t>
      </w:r>
      <w:r>
        <w:rPr>
          <w:rFonts w:ascii="Times New Roman"/>
          <w:color w:val="000000" w:themeColor="text1"/>
          <w:kern w:val="0"/>
          <w14:textFill>
            <w14:solidFill>
              <w14:schemeClr w14:val="tx1"/>
            </w14:solidFill>
          </w14:textFill>
        </w:rPr>
        <w:t>有关规划，政府工作报告，</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委、</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政府决议性文件或工作会议纪要，经</w:t>
      </w:r>
      <w:r>
        <w:rPr>
          <w:rFonts w:hint="eastAsia" w:ascii="Times New Roman"/>
          <w:color w:val="000000" w:themeColor="text1"/>
          <w:kern w:val="0"/>
          <w14:textFill>
            <w14:solidFill>
              <w14:schemeClr w14:val="tx1"/>
            </w14:solidFill>
          </w14:textFill>
        </w:rPr>
        <w:t>镇委、镇</w:t>
      </w:r>
      <w:r>
        <w:rPr>
          <w:rFonts w:ascii="Times New Roman"/>
          <w:color w:val="000000" w:themeColor="text1"/>
          <w:kern w:val="0"/>
          <w14:textFill>
            <w14:solidFill>
              <w14:schemeClr w14:val="tx1"/>
            </w14:solidFill>
          </w14:textFill>
        </w:rPr>
        <w:t>政府审定的行动计划或近期建设实施计划，以及其</w:t>
      </w:r>
      <w:r>
        <w:rPr>
          <w:rFonts w:hint="eastAsia" w:ascii="Times New Roman"/>
          <w:color w:val="000000" w:themeColor="text1"/>
          <w:kern w:val="0"/>
          <w14:textFill>
            <w14:solidFill>
              <w14:schemeClr w14:val="tx1"/>
            </w14:solidFill>
          </w14:textFill>
        </w:rPr>
        <w:t>他</w:t>
      </w:r>
      <w:r>
        <w:rPr>
          <w:rFonts w:ascii="Times New Roman"/>
          <w:color w:val="000000" w:themeColor="text1"/>
          <w:kern w:val="0"/>
          <w14:textFill>
            <w14:solidFill>
              <w14:schemeClr w14:val="tx1"/>
            </w14:solidFill>
          </w14:textFill>
        </w:rPr>
        <w:t>可提供</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委、市政府相关决策依据的固定资产投资项目。</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第十条</w:t>
      </w:r>
      <w:r>
        <w:rPr>
          <w:rFonts w:ascii="Times New Roman"/>
          <w:color w:val="000000" w:themeColor="text1"/>
          <w:kern w:val="0"/>
          <w14:textFill>
            <w14:solidFill>
              <w14:schemeClr w14:val="tx1"/>
            </w14:solidFill>
          </w14:textFill>
        </w:rPr>
        <w:t xml:space="preserve">  预备项目库一般于每年7月启动</w:t>
      </w:r>
      <w:r>
        <w:rPr>
          <w:rFonts w:hint="eastAsia" w:ascii="Times New Roman"/>
          <w:color w:val="000000" w:themeColor="text1"/>
          <w:kern w:val="0"/>
          <w14:textFill>
            <w14:solidFill>
              <w14:schemeClr w14:val="tx1"/>
            </w14:solidFill>
          </w14:textFill>
        </w:rPr>
        <w:t>编制</w:t>
      </w:r>
      <w:r>
        <w:rPr>
          <w:rFonts w:ascii="Times New Roman"/>
          <w:color w:val="000000" w:themeColor="text1"/>
          <w:kern w:val="0"/>
          <w14:textFill>
            <w14:solidFill>
              <w14:schemeClr w14:val="tx1"/>
            </w14:solidFill>
          </w14:textFill>
        </w:rPr>
        <w:t>，</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各有关行业主管部门应对</w:t>
      </w:r>
      <w:r>
        <w:rPr>
          <w:rFonts w:ascii="Times New Roman"/>
          <w:color w:val="000000" w:themeColor="text1"/>
          <w:kern w:val="0"/>
          <w:szCs w:val="32"/>
          <w14:textFill>
            <w14:solidFill>
              <w14:schemeClr w14:val="tx1"/>
            </w14:solidFill>
          </w14:textFill>
        </w:rPr>
        <w:t>主管行业领域</w:t>
      </w:r>
      <w:r>
        <w:rPr>
          <w:rFonts w:hint="eastAsia" w:ascii="Times New Roman"/>
          <w:color w:val="000000" w:themeColor="text1"/>
          <w:kern w:val="0"/>
          <w:szCs w:val="32"/>
          <w14:textFill>
            <w14:solidFill>
              <w14:schemeClr w14:val="tx1"/>
            </w14:solidFill>
          </w14:textFill>
        </w:rPr>
        <w:t>的</w:t>
      </w:r>
      <w:r>
        <w:rPr>
          <w:rFonts w:ascii="Times New Roman"/>
          <w:color w:val="000000" w:themeColor="text1"/>
          <w:kern w:val="0"/>
          <w:szCs w:val="32"/>
          <w14:textFill>
            <w14:solidFill>
              <w14:schemeClr w14:val="tx1"/>
            </w14:solidFill>
          </w14:textFill>
        </w:rPr>
        <w:t>固定资产投资项目进行梳理筛选，经</w:t>
      </w:r>
      <w:r>
        <w:rPr>
          <w:rFonts w:hint="eastAsia" w:ascii="Times New Roman"/>
          <w:color w:val="000000" w:themeColor="text1"/>
          <w:kern w:val="0"/>
          <w:szCs w:val="32"/>
          <w14:textFill>
            <w14:solidFill>
              <w14:schemeClr w14:val="tx1"/>
            </w14:solidFill>
          </w14:textFill>
        </w:rPr>
        <w:t>“</w:t>
      </w:r>
      <w:r>
        <w:rPr>
          <w:rFonts w:ascii="Times New Roman"/>
          <w:color w:val="000000" w:themeColor="text1"/>
          <w:kern w:val="0"/>
          <w14:textFill>
            <w14:solidFill>
              <w14:schemeClr w14:val="tx1"/>
            </w14:solidFill>
          </w14:textFill>
        </w:rPr>
        <w:t>多规合一</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合规性审查通过后</w:t>
      </w:r>
      <w:r>
        <w:rPr>
          <w:rFonts w:hint="eastAsia" w:ascii="Times New Roman"/>
          <w:color w:val="000000" w:themeColor="text1"/>
          <w:kern w:val="0"/>
          <w14:textFill>
            <w14:solidFill>
              <w14:schemeClr w14:val="tx1"/>
            </w14:solidFill>
          </w14:textFill>
        </w:rPr>
        <w:t>（装修、改造等不涉及新增用地的项目可不进行“多规合一”合规性审查）</w:t>
      </w:r>
      <w:r>
        <w:rPr>
          <w:rFonts w:ascii="Times New Roman"/>
          <w:color w:val="000000" w:themeColor="text1"/>
          <w:kern w:val="0"/>
          <w14:textFill>
            <w14:solidFill>
              <w14:schemeClr w14:val="tx1"/>
            </w14:solidFill>
          </w14:textFill>
        </w:rPr>
        <w:t>，将需安排政府投资资金的项目集中报送</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，申请纳入政府投资预备项目库。</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所申报项目应参照项目建议书深度编制</w:t>
      </w:r>
      <w:r>
        <w:rPr>
          <w:rFonts w:hint="eastAsia" w:ascii="Times New Roman"/>
          <w:color w:val="000000" w:themeColor="text1"/>
          <w:kern w:val="0"/>
          <w14:textFill>
            <w14:solidFill>
              <w14:schemeClr w14:val="tx1"/>
            </w14:solidFill>
          </w14:textFill>
        </w:rPr>
        <w:t>申报材料</w:t>
      </w:r>
      <w:r>
        <w:rPr>
          <w:rFonts w:ascii="Times New Roman"/>
          <w:color w:val="000000" w:themeColor="text1"/>
          <w:kern w:val="0"/>
          <w14:textFill>
            <w14:solidFill>
              <w14:schemeClr w14:val="tx1"/>
            </w14:solidFill>
          </w14:textFill>
        </w:rPr>
        <w:t>，重点对项目建设必要性进行论证说明，并明确项目名称、项目建设单位（是否有代建需求）、项目主管部门、建设内容及规模、总投资、资金筹措计划、未来三年投资计划及政府投资资金需求、建设进度计划、</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多规合一</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合规性审查情况以及用地、规划、稳评、节能审查等工作进展情况。</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同一申报单位申报项目超过2个的，申报单位应当按轻重缓急对项目进行排序。</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一</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对于跨</w:t>
      </w:r>
      <w:r>
        <w:rPr>
          <w:rFonts w:hint="eastAsia" w:ascii="Times New Roman"/>
          <w:color w:val="000000" w:themeColor="text1"/>
          <w:kern w:val="0"/>
          <w14:textFill>
            <w14:solidFill>
              <w14:schemeClr w14:val="tx1"/>
            </w14:solidFill>
          </w14:textFill>
        </w:rPr>
        <w:t>村（社区）</w:t>
      </w:r>
      <w:r>
        <w:rPr>
          <w:rFonts w:ascii="Times New Roman"/>
          <w:color w:val="000000" w:themeColor="text1"/>
          <w:kern w:val="0"/>
          <w14:textFill>
            <w14:solidFill>
              <w14:schemeClr w14:val="tx1"/>
            </w14:solidFill>
          </w14:textFill>
        </w:rPr>
        <w:t>的线性工程项目，在申报纳入预备项目库之前、开展</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多规合一</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合规性审查的同时，行业主管部门应就项目建设内容、建设标准、建设规模和投资分担比例等事项，征求相关部门以及沿线或需接</w:t>
      </w:r>
      <w:r>
        <w:rPr>
          <w:rFonts w:hint="eastAsia" w:ascii="Times New Roman"/>
          <w:color w:val="000000" w:themeColor="text1"/>
          <w:kern w:val="0"/>
          <w14:textFill>
            <w14:solidFill>
              <w14:schemeClr w14:val="tx1"/>
            </w14:solidFill>
          </w14:textFill>
        </w:rPr>
        <w:t>村（社区）</w:t>
      </w:r>
      <w:r>
        <w:rPr>
          <w:rFonts w:ascii="Times New Roman"/>
          <w:color w:val="000000" w:themeColor="text1"/>
          <w:kern w:val="0"/>
          <w14:textFill>
            <w14:solidFill>
              <w14:schemeClr w14:val="tx1"/>
            </w14:solidFill>
          </w14:textFill>
        </w:rPr>
        <w:t>的意见。相关意见作为申报依据一并附具。</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二</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w:t>
      </w:r>
      <w:r>
        <w:rPr>
          <w:rFonts w:hint="eastAsia" w:ascii="Times New Roman"/>
          <w:color w:val="FF0000"/>
          <w:kern w:val="0"/>
        </w:rPr>
        <w:t>镇经济发展和科技统计局</w:t>
      </w:r>
      <w:r>
        <w:rPr>
          <w:rFonts w:ascii="Times New Roman"/>
          <w:color w:val="FF0000"/>
          <w:kern w:val="0"/>
        </w:rPr>
        <w:t>汇总各行业领域申报纳入预备项目库的项目，</w:t>
      </w:r>
      <w:r>
        <w:rPr>
          <w:rFonts w:hint="eastAsia" w:ascii="Times New Roman"/>
          <w:color w:val="FF0000"/>
          <w:kern w:val="0"/>
        </w:rPr>
        <w:t>并</w:t>
      </w:r>
      <w:r>
        <w:rPr>
          <w:rFonts w:ascii="Times New Roman"/>
          <w:color w:val="FF0000"/>
          <w:kern w:val="0"/>
        </w:rPr>
        <w:t>组织相关部门进行审核筛选，形成政府投资预备项目</w:t>
      </w:r>
      <w:r>
        <w:rPr>
          <w:rFonts w:hint="eastAsia" w:ascii="Times New Roman"/>
          <w:color w:val="FF0000"/>
          <w:kern w:val="0"/>
        </w:rPr>
        <w:t>库</w:t>
      </w:r>
      <w:r>
        <w:rPr>
          <w:rFonts w:ascii="Times New Roman"/>
          <w:color w:val="FF0000"/>
          <w:kern w:val="0"/>
        </w:rPr>
        <w:t>（草案）</w:t>
      </w:r>
      <w:r>
        <w:rPr>
          <w:rFonts w:hint="eastAsia" w:ascii="Times New Roman"/>
          <w:color w:val="FF0000"/>
          <w:kern w:val="0"/>
        </w:rPr>
        <w:t>，向分管发展改革、财政部门的镇政府领导专题汇报后，提请镇政府批准</w:t>
      </w:r>
      <w:r>
        <w:rPr>
          <w:rFonts w:ascii="Times New Roman"/>
          <w:color w:val="FF0000"/>
          <w:kern w:val="0"/>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纳入预备项目库的审核筛选着重审查项目建设的必要性，并根据本</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财力和经济社会发展需求以及</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委、</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政府重大工作部署，综合平衡各行业领域投资需求，提出项目的投融资模式建议和轻重缓急时序安排：对适合以特许经营、</w:t>
      </w:r>
      <w:r>
        <w:rPr>
          <w:rFonts w:hint="eastAsia" w:ascii="Times New Roman"/>
          <w:color w:val="000000" w:themeColor="text1"/>
          <w:kern w:val="0"/>
          <w14:textFill>
            <w14:solidFill>
              <w14:schemeClr w14:val="tx1"/>
            </w14:solidFill>
          </w14:textFill>
        </w:rPr>
        <w:t>政府和社会资本合作（</w:t>
      </w:r>
      <w:r>
        <w:rPr>
          <w:rFonts w:ascii="Times New Roman"/>
          <w:color w:val="000000" w:themeColor="text1"/>
          <w:kern w:val="0"/>
          <w14:textFill>
            <w14:solidFill>
              <w14:schemeClr w14:val="tx1"/>
            </w14:solidFill>
          </w14:textFill>
        </w:rPr>
        <w:t>PPP</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等模式引进市场化主体建设运营的项目，由行业主管部门按相关规定确定投资主体后实施；对需要以直接出资或资本金注入方式安排政府投资资金的项目，做好与基建预算衔接平衡，按轻重缓急原则纳入预备项目库</w:t>
      </w:r>
      <w:r>
        <w:rPr>
          <w:rFonts w:hint="eastAsia" w:ascii="Times New Roman"/>
          <w:color w:val="000000" w:themeColor="text1"/>
          <w:kern w:val="0"/>
          <w14:textFill>
            <w14:solidFill>
              <w14:schemeClr w14:val="tx1"/>
            </w14:solidFill>
          </w14:textFill>
        </w:rPr>
        <w:t>并</w:t>
      </w:r>
      <w:r>
        <w:rPr>
          <w:rFonts w:ascii="Times New Roman"/>
          <w:color w:val="000000" w:themeColor="text1"/>
          <w:kern w:val="0"/>
          <w14:textFill>
            <w14:solidFill>
              <w14:schemeClr w14:val="tx1"/>
            </w14:solidFill>
          </w14:textFill>
        </w:rPr>
        <w:t>提出实施时序安排。</w:t>
      </w:r>
    </w:p>
    <w:p>
      <w:pPr>
        <w:ind w:firstLine="622" w:firstLineChars="200"/>
        <w:contextualSpacing/>
        <w:rPr>
          <w:rFonts w:ascii="Times New Roman"/>
          <w:color w:val="FF0000"/>
          <w:kern w:val="0"/>
          <w:szCs w:val="32"/>
        </w:rPr>
      </w:pPr>
      <w:r>
        <w:rPr>
          <w:rFonts w:ascii="Times New Roman"/>
          <w:color w:val="FF0000"/>
          <w:kern w:val="0"/>
          <w:szCs w:val="32"/>
        </w:rPr>
        <w:t>对原已纳入预备项目库，但因国家政策调整或其他情况变化已不符合政府投资要求的项目，或因建设条件长期无法落实难以实施的项目，</w:t>
      </w:r>
      <w:r>
        <w:rPr>
          <w:rFonts w:hint="eastAsia" w:ascii="Times New Roman"/>
          <w:color w:val="FF0000"/>
          <w:kern w:val="0"/>
        </w:rPr>
        <w:t>镇经济发展和科技统计局</w:t>
      </w:r>
      <w:r>
        <w:rPr>
          <w:rFonts w:ascii="Times New Roman"/>
          <w:color w:val="FF0000"/>
          <w:kern w:val="0"/>
          <w:szCs w:val="32"/>
        </w:rPr>
        <w:t>依据行业主管部门申请，提出将其从预备项目库中移出的建议，</w:t>
      </w:r>
      <w:r>
        <w:rPr>
          <w:rFonts w:ascii="Times New Roman"/>
          <w:color w:val="FF0000"/>
          <w:kern w:val="0"/>
        </w:rPr>
        <w:t>报</w:t>
      </w:r>
      <w:r>
        <w:rPr>
          <w:rFonts w:hint="eastAsia" w:ascii="Times New Roman"/>
          <w:color w:val="FF0000"/>
          <w:kern w:val="0"/>
        </w:rPr>
        <w:t>镇</w:t>
      </w:r>
      <w:r>
        <w:rPr>
          <w:rFonts w:ascii="Times New Roman"/>
          <w:color w:val="FF0000"/>
          <w:kern w:val="0"/>
        </w:rPr>
        <w:t>政府批准后移除</w:t>
      </w:r>
      <w:r>
        <w:rPr>
          <w:rFonts w:ascii="Times New Roman"/>
          <w:color w:val="FF0000"/>
          <w:kern w:val="0"/>
          <w:szCs w:val="32"/>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纳入预备项目库后，可以开展项目建议书、</w:t>
      </w:r>
      <w:r>
        <w:rPr>
          <w:rFonts w:hint="eastAsia" w:ascii="Times New Roman"/>
          <w:color w:val="000000" w:themeColor="text1"/>
          <w:kern w:val="0"/>
          <w14:textFill>
            <w14:solidFill>
              <w14:schemeClr w14:val="tx1"/>
            </w14:solidFill>
          </w14:textFill>
        </w:rPr>
        <w:t>勘察、方案</w:t>
      </w:r>
      <w:r>
        <w:rPr>
          <w:rFonts w:ascii="Times New Roman"/>
          <w:color w:val="000000" w:themeColor="text1"/>
          <w:kern w:val="0"/>
          <w14:textFill>
            <w14:solidFill>
              <w14:schemeClr w14:val="tx1"/>
            </w14:solidFill>
          </w14:textFill>
        </w:rPr>
        <w:t>设计、可行性研究报告（或投资估算明细表）编制和评估等前期工作。</w:t>
      </w:r>
    </w:p>
    <w:p>
      <w:pPr>
        <w:ind w:firstLine="622" w:firstLineChars="200"/>
        <w:contextualSpacing/>
        <w:rPr>
          <w:rFonts w:ascii="Times New Roman"/>
          <w:b/>
          <w:color w:val="7030A0"/>
          <w:kern w:val="0"/>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三</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w:t>
      </w:r>
      <w:r>
        <w:rPr>
          <w:rFonts w:hint="eastAsia" w:ascii="Times New Roman"/>
          <w:b/>
          <w:color w:val="7030A0"/>
          <w:kern w:val="0"/>
        </w:rPr>
        <w:t>大涌镇</w:t>
      </w:r>
      <w:r>
        <w:rPr>
          <w:rFonts w:ascii="Times New Roman"/>
          <w:b/>
          <w:color w:val="7030A0"/>
          <w:kern w:val="0"/>
        </w:rPr>
        <w:t>政府投资年度计划由</w:t>
      </w:r>
      <w:r>
        <w:rPr>
          <w:rFonts w:hint="eastAsia" w:ascii="Times New Roman"/>
          <w:b/>
          <w:color w:val="7030A0"/>
          <w:kern w:val="0"/>
        </w:rPr>
        <w:t>各预算单位编制报送镇财政分局，镇财政分局牵头</w:t>
      </w:r>
      <w:r>
        <w:rPr>
          <w:rFonts w:ascii="Times New Roman"/>
          <w:b/>
          <w:color w:val="7030A0"/>
          <w:kern w:val="0"/>
        </w:rPr>
        <w:t>会同</w:t>
      </w:r>
      <w:r>
        <w:rPr>
          <w:rFonts w:hint="eastAsia" w:ascii="Times New Roman"/>
          <w:b/>
          <w:color w:val="7030A0"/>
          <w:kern w:val="0"/>
        </w:rPr>
        <w:t>镇经济发展和科技统计局</w:t>
      </w:r>
      <w:r>
        <w:rPr>
          <w:rFonts w:ascii="Times New Roman"/>
          <w:b/>
          <w:color w:val="7030A0"/>
          <w:kern w:val="0"/>
        </w:rPr>
        <w:t>相关行业主管部门后联合</w:t>
      </w:r>
      <w:r>
        <w:rPr>
          <w:rFonts w:hint="eastAsia" w:ascii="Times New Roman"/>
          <w:b/>
          <w:color w:val="7030A0"/>
          <w:kern w:val="0"/>
        </w:rPr>
        <w:t>审核</w:t>
      </w:r>
      <w:r>
        <w:rPr>
          <w:rFonts w:ascii="Times New Roman"/>
          <w:b/>
          <w:color w:val="7030A0"/>
          <w:kern w:val="0"/>
        </w:rPr>
        <w:t>编制，经</w:t>
      </w:r>
      <w:r>
        <w:rPr>
          <w:rFonts w:hint="eastAsia" w:ascii="Times New Roman"/>
          <w:b/>
          <w:color w:val="7030A0"/>
          <w:kern w:val="0"/>
        </w:rPr>
        <w:t>镇</w:t>
      </w:r>
      <w:r>
        <w:rPr>
          <w:rFonts w:ascii="Times New Roman"/>
          <w:b/>
          <w:color w:val="7030A0"/>
          <w:kern w:val="0"/>
        </w:rPr>
        <w:t>政府审核通过后纳入年度财政预算，提</w:t>
      </w:r>
      <w:r>
        <w:rPr>
          <w:rFonts w:hint="eastAsia" w:ascii="Times New Roman"/>
          <w:b/>
          <w:color w:val="7030A0"/>
          <w:kern w:val="0"/>
        </w:rPr>
        <w:t>请镇</w:t>
      </w:r>
      <w:r>
        <w:rPr>
          <w:rFonts w:ascii="Times New Roman"/>
          <w:b/>
          <w:color w:val="7030A0"/>
          <w:kern w:val="0"/>
        </w:rPr>
        <w:t>人民代表大会审查批准。政府投资年度计划应包括下列内容：</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（一）年度</w:t>
      </w:r>
      <w:r>
        <w:rPr>
          <w:rFonts w:hint="eastAsia" w:ascii="Times New Roman"/>
          <w:color w:val="000000" w:themeColor="text1"/>
          <w:kern w:val="0"/>
          <w14:textFill>
            <w14:solidFill>
              <w14:schemeClr w14:val="tx1"/>
            </w14:solidFill>
          </w14:textFill>
        </w:rPr>
        <w:t>镇级政府投资项目资金安排总额</w:t>
      </w:r>
      <w:r>
        <w:rPr>
          <w:rFonts w:ascii="Times New Roman"/>
          <w:color w:val="000000" w:themeColor="text1"/>
          <w:kern w:val="0"/>
          <w14:textFill>
            <w14:solidFill>
              <w14:schemeClr w14:val="tx1"/>
            </w14:solidFill>
          </w14:textFill>
        </w:rPr>
        <w:t xml:space="preserve">； </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（二）新开工项目名称、建设内容、建设规模、建设周期、概算总投资及年度</w:t>
      </w:r>
      <w:r>
        <w:rPr>
          <w:rFonts w:hint="eastAsia" w:ascii="Times New Roman"/>
          <w:color w:val="000000" w:themeColor="text1"/>
          <w:kern w:val="0"/>
          <w14:textFill>
            <w14:solidFill>
              <w14:schemeClr w14:val="tx1"/>
            </w14:solidFill>
          </w14:textFill>
        </w:rPr>
        <w:t>资金安排额度</w:t>
      </w:r>
      <w:r>
        <w:rPr>
          <w:rFonts w:ascii="Times New Roman"/>
          <w:color w:val="000000" w:themeColor="text1"/>
          <w:kern w:val="0"/>
          <w14:textFill>
            <w14:solidFill>
              <w14:schemeClr w14:val="tx1"/>
            </w14:solidFill>
          </w14:textFill>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（三）在建、完工项目名称、总投资额和年度</w:t>
      </w:r>
      <w:r>
        <w:rPr>
          <w:rFonts w:hint="eastAsia" w:ascii="Times New Roman"/>
          <w:color w:val="000000" w:themeColor="text1"/>
          <w:kern w:val="0"/>
          <w14:textFill>
            <w14:solidFill>
              <w14:schemeClr w14:val="tx1"/>
            </w14:solidFill>
          </w14:textFill>
        </w:rPr>
        <w:t>资金安排额度</w:t>
      </w:r>
      <w:r>
        <w:rPr>
          <w:rFonts w:ascii="Times New Roman"/>
          <w:color w:val="000000" w:themeColor="text1"/>
          <w:kern w:val="0"/>
          <w14:textFill>
            <w14:solidFill>
              <w14:schemeClr w14:val="tx1"/>
            </w14:solidFill>
          </w14:textFill>
        </w:rPr>
        <w:t xml:space="preserve">； </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（四）</w:t>
      </w:r>
      <w:r>
        <w:rPr>
          <w:rFonts w:hint="eastAsia" w:ascii="Times New Roman"/>
          <w:color w:val="000000" w:themeColor="text1"/>
          <w:kern w:val="0"/>
          <w14:textFill>
            <w14:solidFill>
              <w14:schemeClr w14:val="tx1"/>
            </w14:solidFill>
          </w14:textFill>
        </w:rPr>
        <w:t>前期</w:t>
      </w:r>
      <w:r>
        <w:rPr>
          <w:rFonts w:ascii="Times New Roman"/>
          <w:color w:val="000000" w:themeColor="text1"/>
          <w:kern w:val="0"/>
          <w14:textFill>
            <w14:solidFill>
              <w14:schemeClr w14:val="tx1"/>
            </w14:solidFill>
          </w14:textFill>
        </w:rPr>
        <w:t xml:space="preserve">项目情况和前期费用安排情况； </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 xml:space="preserve">（五）待安排项目预留资金； </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（六）其他应说明的情况。</w:t>
      </w:r>
    </w:p>
    <w:p>
      <w:pPr>
        <w:ind w:firstLine="622" w:firstLineChars="200"/>
        <w:contextualSpacing/>
        <w:rPr>
          <w:rFonts w:ascii="Times New Roman"/>
          <w:color w:val="FF0000"/>
          <w:kern w:val="0"/>
        </w:rPr>
      </w:pPr>
      <w:r>
        <w:rPr>
          <w:rFonts w:ascii="Times New Roman" w:eastAsia="黑体"/>
          <w:color w:val="FF0000"/>
          <w:kern w:val="0"/>
        </w:rPr>
        <w:t>第十</w:t>
      </w:r>
      <w:r>
        <w:rPr>
          <w:rFonts w:hint="eastAsia" w:ascii="Times New Roman" w:eastAsia="黑体"/>
          <w:color w:val="FF0000"/>
          <w:kern w:val="0"/>
        </w:rPr>
        <w:t>四</w:t>
      </w:r>
      <w:r>
        <w:rPr>
          <w:rFonts w:ascii="Times New Roman" w:eastAsia="黑体"/>
          <w:color w:val="FF0000"/>
          <w:kern w:val="0"/>
        </w:rPr>
        <w:t xml:space="preserve">条  </w:t>
      </w:r>
      <w:r>
        <w:rPr>
          <w:rFonts w:ascii="Times New Roman"/>
          <w:color w:val="FF0000"/>
          <w:kern w:val="0"/>
        </w:rPr>
        <w:t>政府投资年度计划经</w:t>
      </w:r>
      <w:r>
        <w:rPr>
          <w:rFonts w:hint="eastAsia" w:ascii="Times New Roman"/>
          <w:color w:val="FF0000"/>
          <w:kern w:val="0"/>
        </w:rPr>
        <w:t>镇党委讨论通过和镇人大审议通过后</w:t>
      </w:r>
      <w:r>
        <w:rPr>
          <w:rFonts w:ascii="Times New Roman"/>
          <w:color w:val="FF0000"/>
          <w:kern w:val="0"/>
        </w:rPr>
        <w:t>，</w:t>
      </w:r>
      <w:r>
        <w:rPr>
          <w:rFonts w:hint="eastAsia" w:ascii="Times New Roman"/>
          <w:color w:val="FF0000"/>
          <w:kern w:val="0"/>
        </w:rPr>
        <w:t>镇</w:t>
      </w:r>
      <w:r>
        <w:rPr>
          <w:rFonts w:ascii="Times New Roman"/>
          <w:color w:val="FF0000"/>
          <w:kern w:val="0"/>
        </w:rPr>
        <w:t>财政</w:t>
      </w:r>
      <w:r>
        <w:rPr>
          <w:rFonts w:hint="eastAsia" w:ascii="Times New Roman"/>
          <w:color w:val="FF0000"/>
          <w:kern w:val="0"/>
        </w:rPr>
        <w:t>分</w:t>
      </w:r>
      <w:r>
        <w:rPr>
          <w:rFonts w:ascii="Times New Roman"/>
          <w:color w:val="FF0000"/>
          <w:kern w:val="0"/>
        </w:rPr>
        <w:t>局</w:t>
      </w:r>
      <w:r>
        <w:rPr>
          <w:rFonts w:hint="eastAsia" w:ascii="Times New Roman"/>
          <w:color w:val="FF0000"/>
          <w:kern w:val="0"/>
        </w:rPr>
        <w:t>将预算批复到预算单位</w:t>
      </w:r>
      <w:r>
        <w:rPr>
          <w:rFonts w:ascii="Times New Roman"/>
          <w:color w:val="FF0000"/>
          <w:kern w:val="0"/>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五</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政府投资年度计划应与当年政府基建投资资金安排相衔接。</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六</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政府投资年度计划一经批准，应当严格执行，任何单位和个人不得擅自调整。因特殊情况确需调整的，必须将调整范围和内容报</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政府审定。</w:t>
      </w:r>
      <w:r>
        <w:rPr>
          <w:rFonts w:hint="eastAsia" w:ascii="Times New Roman"/>
          <w:color w:val="000000" w:themeColor="text1"/>
          <w:kern w:val="0"/>
          <w14:textFill>
            <w14:solidFill>
              <w14:schemeClr w14:val="tx1"/>
            </w14:solidFill>
          </w14:textFill>
        </w:rPr>
        <w:t>相关调整达到需向镇人大报告标准的，按镇人大相关规定执行。</w:t>
      </w:r>
    </w:p>
    <w:p>
      <w:pPr>
        <w:ind w:firstLine="622" w:firstLineChars="200"/>
        <w:contextualSpacing/>
        <w:rPr>
          <w:rFonts w:ascii="Times New Roman"/>
          <w:color w:val="000000" w:themeColor="text1"/>
          <w:kern w:val="0"/>
          <w14:textFill>
            <w14:solidFill>
              <w14:schemeClr w14:val="tx1"/>
            </w14:solidFill>
          </w14:textFill>
        </w:rPr>
      </w:pPr>
    </w:p>
    <w:p>
      <w:pPr>
        <w:contextualSpacing/>
        <w:jc w:val="center"/>
        <w:rPr>
          <w:rFonts w:ascii="Times New Roman" w:eastAsia="黑体"/>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第三章　审批程序</w:t>
      </w:r>
    </w:p>
    <w:p>
      <w:pPr>
        <w:ind w:firstLine="622" w:firstLineChars="200"/>
        <w:contextualSpacing/>
        <w:rPr>
          <w:rFonts w:ascii="Times New Roman"/>
          <w:color w:val="000000" w:themeColor="text1"/>
          <w:kern w:val="0"/>
          <w:szCs w:val="32"/>
          <w14:textFill>
            <w14:solidFill>
              <w14:schemeClr w14:val="tx1"/>
            </w14:solidFill>
          </w14:textFill>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七</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w:t>
      </w:r>
      <w:r>
        <w:rPr>
          <w:rFonts w:ascii="Times New Roman"/>
          <w:color w:val="000000" w:themeColor="text1"/>
          <w:kern w:val="0"/>
          <w:szCs w:val="32"/>
          <w14:textFill>
            <w14:solidFill>
              <w14:schemeClr w14:val="tx1"/>
            </w14:solidFill>
          </w14:textFill>
        </w:rPr>
        <w:t>项目经</w:t>
      </w:r>
      <w:r>
        <w:rPr>
          <w:rFonts w:hint="eastAsia" w:ascii="Times New Roman"/>
          <w:color w:val="000000" w:themeColor="text1"/>
          <w:kern w:val="0"/>
          <w:szCs w:val="32"/>
          <w14:textFill>
            <w14:solidFill>
              <w14:schemeClr w14:val="tx1"/>
            </w14:solidFill>
          </w14:textFill>
        </w:rPr>
        <w:t>镇</w:t>
      </w:r>
      <w:r>
        <w:rPr>
          <w:rFonts w:ascii="Times New Roman"/>
          <w:color w:val="000000" w:themeColor="text1"/>
          <w:kern w:val="0"/>
          <w:szCs w:val="32"/>
          <w14:textFill>
            <w14:solidFill>
              <w14:schemeClr w14:val="tx1"/>
            </w14:solidFill>
          </w14:textFill>
        </w:rPr>
        <w:t>政府批准纳入预备项目库的，视同完成项目建议书批复，可直接编报可行性研究报告（或投资估算明细表）。</w:t>
      </w:r>
    </w:p>
    <w:p>
      <w:pPr>
        <w:ind w:firstLine="622" w:firstLineChars="200"/>
        <w:contextualSpacing/>
        <w:rPr>
          <w:rFonts w:ascii="Times New Roman"/>
          <w:color w:val="000000" w:themeColor="text1"/>
          <w:kern w:val="0"/>
          <w:szCs w:val="32"/>
          <w14:textFill>
            <w14:solidFill>
              <w14:schemeClr w14:val="tx1"/>
            </w14:solidFill>
          </w14:textFill>
        </w:rPr>
      </w:pPr>
      <w:r>
        <w:rPr>
          <w:rFonts w:ascii="Times New Roman"/>
          <w:color w:val="000000" w:themeColor="text1"/>
          <w:kern w:val="0"/>
          <w:szCs w:val="32"/>
          <w14:textFill>
            <w14:solidFill>
              <w14:schemeClr w14:val="tx1"/>
            </w14:solidFill>
          </w14:textFill>
        </w:rPr>
        <w:t>未纳入政府投资预备项目库但确需立项建设的政府投资项目，由项目单位提供国家、省、市</w:t>
      </w:r>
      <w:r>
        <w:rPr>
          <w:rFonts w:hint="eastAsia" w:ascii="Times New Roman"/>
          <w:color w:val="000000" w:themeColor="text1"/>
          <w:kern w:val="0"/>
          <w:szCs w:val="32"/>
          <w14:textFill>
            <w14:solidFill>
              <w14:schemeClr w14:val="tx1"/>
            </w14:solidFill>
          </w14:textFill>
        </w:rPr>
        <w:t>、镇</w:t>
      </w:r>
      <w:r>
        <w:rPr>
          <w:rFonts w:ascii="Times New Roman"/>
          <w:color w:val="000000" w:themeColor="text1"/>
          <w:kern w:val="0"/>
          <w:szCs w:val="32"/>
          <w14:textFill>
            <w14:solidFill>
              <w14:schemeClr w14:val="tx1"/>
            </w14:solidFill>
          </w14:textFill>
        </w:rPr>
        <w:t>有明确要求实施的依据，通过</w:t>
      </w:r>
      <w:r>
        <w:rPr>
          <w:rFonts w:hint="eastAsia" w:ascii="Times New Roman"/>
          <w:color w:val="000000" w:themeColor="text1"/>
          <w:kern w:val="0"/>
          <w:szCs w:val="32"/>
          <w14:textFill>
            <w14:solidFill>
              <w14:schemeClr w14:val="tx1"/>
            </w14:solidFill>
          </w14:textFill>
        </w:rPr>
        <w:t>“</w:t>
      </w:r>
      <w:r>
        <w:rPr>
          <w:rFonts w:ascii="Times New Roman"/>
          <w:color w:val="000000" w:themeColor="text1"/>
          <w:kern w:val="0"/>
          <w:szCs w:val="32"/>
          <w14:textFill>
            <w14:solidFill>
              <w14:schemeClr w14:val="tx1"/>
            </w14:solidFill>
          </w14:textFill>
        </w:rPr>
        <w:t>多规合一</w:t>
      </w:r>
      <w:r>
        <w:rPr>
          <w:rFonts w:hint="eastAsia" w:ascii="Times New Roman"/>
          <w:color w:val="000000" w:themeColor="text1"/>
          <w:kern w:val="0"/>
          <w:szCs w:val="32"/>
          <w14:textFill>
            <w14:solidFill>
              <w14:schemeClr w14:val="tx1"/>
            </w14:solidFill>
          </w14:textFill>
        </w:rPr>
        <w:t>”</w:t>
      </w:r>
      <w:r>
        <w:rPr>
          <w:rFonts w:ascii="Times New Roman"/>
          <w:color w:val="000000" w:themeColor="text1"/>
          <w:kern w:val="0"/>
          <w:szCs w:val="32"/>
          <w14:textFill>
            <w14:solidFill>
              <w14:schemeClr w14:val="tx1"/>
            </w14:solidFill>
          </w14:textFill>
        </w:rPr>
        <w:t>合规性审查后，依次办理项目建议书、可行性研究报告审批。</w:t>
      </w:r>
    </w:p>
    <w:p>
      <w:pPr>
        <w:ind w:firstLine="622" w:firstLineChars="200"/>
        <w:contextualSpacing/>
        <w:rPr>
          <w:rFonts w:ascii="Times New Roman"/>
          <w:color w:val="FF0000"/>
          <w:kern w:val="0"/>
        </w:rPr>
      </w:pPr>
      <w:r>
        <w:rPr>
          <w:rFonts w:ascii="Times New Roman" w:eastAsia="黑体"/>
          <w:color w:val="FF0000"/>
          <w:kern w:val="0"/>
        </w:rPr>
        <w:t>第十</w:t>
      </w:r>
      <w:r>
        <w:rPr>
          <w:rFonts w:hint="eastAsia" w:ascii="Times New Roman" w:eastAsia="黑体"/>
          <w:color w:val="FF0000"/>
          <w:kern w:val="0"/>
        </w:rPr>
        <w:t>八</w:t>
      </w:r>
      <w:r>
        <w:rPr>
          <w:rFonts w:ascii="Times New Roman" w:eastAsia="黑体"/>
          <w:color w:val="FF0000"/>
          <w:kern w:val="0"/>
        </w:rPr>
        <w:t xml:space="preserve">条  </w:t>
      </w:r>
      <w:r>
        <w:rPr>
          <w:rFonts w:ascii="Times New Roman"/>
          <w:color w:val="FF0000"/>
          <w:kern w:val="0"/>
        </w:rPr>
        <w:t>项目建议书由项目单位委托有相应资质的咨询机构编制，经行业主管部门委托第三方中介机构评估，</w:t>
      </w:r>
      <w:r>
        <w:rPr>
          <w:rFonts w:ascii="Times New Roman"/>
          <w:color w:val="FF0000"/>
          <w:kern w:val="0"/>
          <w:szCs w:val="32"/>
        </w:rPr>
        <w:t>并征求</w:t>
      </w:r>
      <w:r>
        <w:rPr>
          <w:rFonts w:hint="eastAsia" w:ascii="Times New Roman"/>
          <w:color w:val="FF0000"/>
          <w:kern w:val="0"/>
          <w:szCs w:val="32"/>
        </w:rPr>
        <w:t>相</w:t>
      </w:r>
      <w:r>
        <w:rPr>
          <w:rFonts w:ascii="Times New Roman"/>
          <w:color w:val="FF0000"/>
          <w:kern w:val="0"/>
          <w:szCs w:val="32"/>
        </w:rPr>
        <w:t>关部门意见</w:t>
      </w:r>
      <w:r>
        <w:rPr>
          <w:rFonts w:ascii="Times New Roman"/>
          <w:color w:val="FF0000"/>
          <w:kern w:val="0"/>
        </w:rPr>
        <w:t>，评审通过后报</w:t>
      </w:r>
      <w:r>
        <w:rPr>
          <w:rFonts w:hint="eastAsia" w:ascii="Times New Roman"/>
          <w:color w:val="FF0000"/>
          <w:kern w:val="0"/>
        </w:rPr>
        <w:t>镇经济发展和科技统计局</w:t>
      </w:r>
      <w:r>
        <w:rPr>
          <w:rFonts w:ascii="Times New Roman"/>
          <w:color w:val="FF0000"/>
          <w:kern w:val="0"/>
        </w:rPr>
        <w:t>办理项目建议书审批。</w:t>
      </w:r>
      <w:bookmarkStart w:id="0" w:name="_Hlk43672512"/>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匡算投资1000万元以下的项目，由</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直接办理项目建议书批复；匡算投资1000万元（含）以上的项目，</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须报</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政府批准后方可批复项目建议书。</w:t>
      </w:r>
    </w:p>
    <w:bookmarkEnd w:id="0"/>
    <w:p>
      <w:pPr>
        <w:ind w:firstLine="622" w:firstLineChars="200"/>
        <w:contextualSpacing/>
        <w:rPr>
          <w:rFonts w:ascii="Times New Roman"/>
          <w:color w:val="000000" w:themeColor="text1"/>
          <w:kern w:val="0"/>
          <w:szCs w:val="32"/>
          <w14:textFill>
            <w14:solidFill>
              <w14:schemeClr w14:val="tx1"/>
            </w14:solidFill>
          </w14:textFill>
        </w:rPr>
      </w:pPr>
      <w:r>
        <w:rPr>
          <w:rFonts w:ascii="Times New Roman"/>
          <w:color w:val="000000" w:themeColor="text1"/>
          <w:kern w:val="0"/>
          <w:szCs w:val="32"/>
          <w14:textFill>
            <w14:solidFill>
              <w14:schemeClr w14:val="tx1"/>
            </w14:solidFill>
          </w14:textFill>
        </w:rPr>
        <w:t>交通，水利、供水、排水，林业、湿地公园</w:t>
      </w:r>
      <w:r>
        <w:rPr>
          <w:rFonts w:hint="eastAsia" w:ascii="Times New Roman"/>
          <w:color w:val="000000" w:themeColor="text1"/>
          <w:kern w:val="0"/>
          <w:szCs w:val="32"/>
          <w14:textFill>
            <w14:solidFill>
              <w14:schemeClr w14:val="tx1"/>
            </w14:solidFill>
          </w14:textFill>
        </w:rPr>
        <w:t>等</w:t>
      </w:r>
      <w:r>
        <w:rPr>
          <w:rFonts w:ascii="Times New Roman"/>
          <w:color w:val="000000" w:themeColor="text1"/>
          <w:kern w:val="0"/>
          <w:szCs w:val="32"/>
          <w14:textFill>
            <w14:solidFill>
              <w14:schemeClr w14:val="tx1"/>
            </w14:solidFill>
          </w14:textFill>
        </w:rPr>
        <w:t>项目建议书分别由交通、水务、自然资源等行业主管部门组织评审；房屋建筑（含代建类）、市政基础设施、城市公园绿地等其他项目建议书由</w:t>
      </w:r>
      <w:r>
        <w:rPr>
          <w:rFonts w:hint="eastAsia" w:ascii="Times New Roman"/>
          <w:color w:val="000000" w:themeColor="text1"/>
          <w:kern w:val="0"/>
          <w:szCs w:val="32"/>
          <w14:textFill>
            <w14:solidFill>
              <w14:schemeClr w14:val="tx1"/>
            </w14:solidFill>
          </w14:textFill>
        </w:rPr>
        <w:t>镇城管住建和农业农村局</w:t>
      </w:r>
      <w:r>
        <w:rPr>
          <w:rFonts w:ascii="Times New Roman"/>
          <w:color w:val="000000" w:themeColor="text1"/>
          <w:kern w:val="0"/>
          <w:szCs w:val="32"/>
          <w14:textFill>
            <w14:solidFill>
              <w14:schemeClr w14:val="tx1"/>
            </w14:solidFill>
          </w14:textFill>
        </w:rPr>
        <w:t>组织评审。</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第十</w:t>
      </w:r>
      <w:r>
        <w:rPr>
          <w:rFonts w:hint="eastAsia" w:ascii="Times New Roman" w:eastAsia="黑体"/>
          <w:color w:val="000000" w:themeColor="text1"/>
          <w:kern w:val="0"/>
          <w14:textFill>
            <w14:solidFill>
              <w14:schemeClr w14:val="tx1"/>
            </w14:solidFill>
          </w14:textFill>
        </w:rPr>
        <w:t>九</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w:t>
      </w:r>
      <w:r>
        <w:rPr>
          <w:rFonts w:ascii="Times New Roman"/>
          <w:color w:val="000000" w:themeColor="text1"/>
          <w:kern w:val="0"/>
          <w:szCs w:val="32"/>
          <w14:textFill>
            <w14:solidFill>
              <w14:schemeClr w14:val="tx1"/>
            </w14:solidFill>
          </w14:textFill>
        </w:rPr>
        <w:t>项目纳入预备项目库或经批复</w:t>
      </w:r>
      <w:r>
        <w:rPr>
          <w:rFonts w:ascii="Times New Roman"/>
          <w:color w:val="000000" w:themeColor="text1"/>
          <w:kern w:val="0"/>
          <w14:textFill>
            <w14:solidFill>
              <w14:schemeClr w14:val="tx1"/>
            </w14:solidFill>
          </w14:textFill>
        </w:rPr>
        <w:t>项目建议书后，项目单位应当委托有相应资</w:t>
      </w:r>
      <w:r>
        <w:rPr>
          <w:rFonts w:hint="eastAsia" w:ascii="Times New Roman"/>
          <w:color w:val="000000" w:themeColor="text1"/>
          <w:kern w:val="0"/>
          <w14:textFill>
            <w14:solidFill>
              <w14:schemeClr w14:val="tx1"/>
            </w14:solidFill>
          </w14:textFill>
        </w:rPr>
        <w:t>信</w:t>
      </w:r>
      <w:r>
        <w:rPr>
          <w:rFonts w:ascii="Times New Roman"/>
          <w:color w:val="000000" w:themeColor="text1"/>
          <w:kern w:val="0"/>
          <w14:textFill>
            <w14:solidFill>
              <w14:schemeClr w14:val="tx1"/>
            </w14:solidFill>
          </w14:textFill>
        </w:rPr>
        <w:t>的咨询机构编制可行性研究报告，经行业主管部门</w:t>
      </w:r>
      <w:r>
        <w:rPr>
          <w:rFonts w:ascii="Times New Roman"/>
          <w:color w:val="000000" w:themeColor="text1"/>
          <w:kern w:val="0"/>
          <w:szCs w:val="32"/>
          <w14:textFill>
            <w14:solidFill>
              <w14:schemeClr w14:val="tx1"/>
            </w14:solidFill>
          </w14:textFill>
        </w:rPr>
        <w:t>委托第三方中介机构评估，并征求</w:t>
      </w:r>
      <w:r>
        <w:rPr>
          <w:rFonts w:hint="eastAsia" w:ascii="Times New Roman"/>
          <w:color w:val="000000" w:themeColor="text1"/>
          <w:kern w:val="0"/>
          <w:szCs w:val="32"/>
          <w14:textFill>
            <w14:solidFill>
              <w14:schemeClr w14:val="tx1"/>
            </w14:solidFill>
          </w14:textFill>
        </w:rPr>
        <w:t>镇</w:t>
      </w:r>
      <w:r>
        <w:rPr>
          <w:rFonts w:ascii="Times New Roman"/>
          <w:color w:val="000000" w:themeColor="text1"/>
          <w:kern w:val="0"/>
          <w:szCs w:val="32"/>
          <w14:textFill>
            <w14:solidFill>
              <w14:schemeClr w14:val="tx1"/>
            </w14:solidFill>
          </w14:textFill>
        </w:rPr>
        <w:t>财政</w:t>
      </w:r>
      <w:r>
        <w:rPr>
          <w:rFonts w:hint="eastAsia" w:ascii="Times New Roman"/>
          <w:color w:val="000000" w:themeColor="text1"/>
          <w:kern w:val="0"/>
          <w:szCs w:val="32"/>
          <w14:textFill>
            <w14:solidFill>
              <w14:schemeClr w14:val="tx1"/>
            </w14:solidFill>
          </w14:textFill>
        </w:rPr>
        <w:t>分</w:t>
      </w:r>
      <w:r>
        <w:rPr>
          <w:rFonts w:ascii="Times New Roman"/>
          <w:color w:val="000000" w:themeColor="text1"/>
          <w:kern w:val="0"/>
          <w:szCs w:val="32"/>
          <w14:textFill>
            <w14:solidFill>
              <w14:schemeClr w14:val="tx1"/>
            </w14:solidFill>
          </w14:textFill>
        </w:rPr>
        <w:t>局以及涉及相关职能的市自然资源局、</w:t>
      </w:r>
      <w:r>
        <w:rPr>
          <w:rFonts w:hint="eastAsia" w:ascii="Times New Roman"/>
          <w:color w:val="000000" w:themeColor="text1"/>
          <w:kern w:val="0"/>
          <w:szCs w:val="32"/>
          <w14:textFill>
            <w14:solidFill>
              <w14:schemeClr w14:val="tx1"/>
            </w14:solidFill>
          </w14:textFill>
        </w:rPr>
        <w:t>镇</w:t>
      </w:r>
      <w:r>
        <w:rPr>
          <w:rFonts w:ascii="Times New Roman"/>
          <w:color w:val="000000" w:themeColor="text1"/>
          <w:kern w:val="0"/>
          <w:szCs w:val="32"/>
          <w14:textFill>
            <w14:solidFill>
              <w14:schemeClr w14:val="tx1"/>
            </w14:solidFill>
          </w14:textFill>
        </w:rPr>
        <w:t>生态环境</w:t>
      </w:r>
      <w:r>
        <w:rPr>
          <w:rFonts w:hint="eastAsia" w:ascii="Times New Roman"/>
          <w:color w:val="000000" w:themeColor="text1"/>
          <w:kern w:val="0"/>
          <w:szCs w:val="32"/>
          <w14:textFill>
            <w14:solidFill>
              <w14:schemeClr w14:val="tx1"/>
            </w14:solidFill>
          </w14:textFill>
        </w:rPr>
        <w:t>保护</w:t>
      </w:r>
      <w:r>
        <w:rPr>
          <w:rFonts w:ascii="Times New Roman"/>
          <w:color w:val="000000" w:themeColor="text1"/>
          <w:kern w:val="0"/>
          <w:szCs w:val="32"/>
          <w14:textFill>
            <w14:solidFill>
              <w14:schemeClr w14:val="tx1"/>
            </w14:solidFill>
          </w14:textFill>
        </w:rPr>
        <w:t>局等部门意见</w:t>
      </w:r>
      <w:r>
        <w:rPr>
          <w:rFonts w:ascii="Times New Roman"/>
          <w:color w:val="000000" w:themeColor="text1"/>
          <w:kern w:val="0"/>
          <w14:textFill>
            <w14:solidFill>
              <w14:schemeClr w14:val="tx1"/>
            </w14:solidFill>
          </w14:textFill>
        </w:rPr>
        <w:t>，</w:t>
      </w:r>
      <w:r>
        <w:rPr>
          <w:rFonts w:ascii="Times New Roman"/>
          <w:color w:val="000000" w:themeColor="text1"/>
          <w:kern w:val="0"/>
          <w:szCs w:val="32"/>
          <w14:textFill>
            <w14:solidFill>
              <w14:schemeClr w14:val="tx1"/>
            </w14:solidFill>
          </w14:textFill>
        </w:rPr>
        <w:t>评审通过后</w:t>
      </w:r>
      <w:r>
        <w:rPr>
          <w:rFonts w:ascii="Times New Roman"/>
          <w:color w:val="000000" w:themeColor="text1"/>
          <w:kern w:val="0"/>
          <w14:textFill>
            <w14:solidFill>
              <w14:schemeClr w14:val="tx1"/>
            </w14:solidFill>
          </w14:textFill>
        </w:rPr>
        <w:t>报</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办理项目</w:t>
      </w:r>
      <w:bookmarkStart w:id="1" w:name="_Hlk43672583"/>
      <w:r>
        <w:rPr>
          <w:rFonts w:ascii="Times New Roman"/>
          <w:color w:val="000000" w:themeColor="text1"/>
          <w:kern w:val="0"/>
          <w14:textFill>
            <w14:solidFill>
              <w14:schemeClr w14:val="tx1"/>
            </w14:solidFill>
          </w14:textFill>
        </w:rPr>
        <w:t>可行性研究报告</w:t>
      </w:r>
      <w:bookmarkEnd w:id="1"/>
      <w:r>
        <w:rPr>
          <w:rFonts w:ascii="Times New Roman"/>
          <w:color w:val="000000" w:themeColor="text1"/>
          <w:kern w:val="0"/>
          <w14:textFill>
            <w14:solidFill>
              <w14:schemeClr w14:val="tx1"/>
            </w14:solidFill>
          </w14:textFill>
        </w:rPr>
        <w:t>审批。</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szCs w:val="32"/>
          <w14:textFill>
            <w14:solidFill>
              <w14:schemeClr w14:val="tx1"/>
            </w14:solidFill>
          </w14:textFill>
        </w:rPr>
        <w:t>对于</w:t>
      </w:r>
      <w:r>
        <w:rPr>
          <w:rFonts w:ascii="Times New Roman"/>
          <w:color w:val="000000" w:themeColor="text1"/>
          <w:kern w:val="0"/>
          <w14:textFill>
            <w14:solidFill>
              <w14:schemeClr w14:val="tx1"/>
            </w14:solidFill>
          </w14:textFill>
        </w:rPr>
        <w:t>建设内容单一、技术方案简单、总投资1000万元以下的项目，可</w:t>
      </w:r>
      <w:r>
        <w:rPr>
          <w:rFonts w:hint="eastAsia" w:ascii="Times New Roman"/>
          <w:color w:val="000000" w:themeColor="text1"/>
          <w:kern w:val="0"/>
          <w14:textFill>
            <w14:solidFill>
              <w14:schemeClr w14:val="tx1"/>
            </w14:solidFill>
          </w14:textFill>
        </w:rPr>
        <w:t>免于</w:t>
      </w:r>
      <w:r>
        <w:rPr>
          <w:rFonts w:ascii="Times New Roman"/>
          <w:color w:val="000000" w:themeColor="text1"/>
          <w:kern w:val="0"/>
          <w14:textFill>
            <w14:solidFill>
              <w14:schemeClr w14:val="tx1"/>
            </w14:solidFill>
          </w14:textFill>
        </w:rPr>
        <w:t>可行性研究报告审批</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直接编报初步设计概算；对于</w:t>
      </w:r>
      <w:r>
        <w:rPr>
          <w:rFonts w:ascii="Times New Roman"/>
          <w:color w:val="000000" w:themeColor="text1"/>
          <w:kern w:val="0"/>
          <w:szCs w:val="32"/>
          <w14:textFill>
            <w14:solidFill>
              <w14:schemeClr w14:val="tx1"/>
            </w14:solidFill>
          </w14:textFill>
        </w:rPr>
        <w:t>估算投资1000万元</w:t>
      </w:r>
      <w:r>
        <w:rPr>
          <w:rFonts w:hint="eastAsia" w:ascii="Times New Roman"/>
          <w:color w:val="000000" w:themeColor="text1"/>
          <w:kern w:val="0"/>
          <w:szCs w:val="32"/>
          <w14:textFill>
            <w14:solidFill>
              <w14:schemeClr w14:val="tx1"/>
            </w14:solidFill>
          </w14:textFill>
        </w:rPr>
        <w:t>（含）</w:t>
      </w:r>
      <w:r>
        <w:rPr>
          <w:rFonts w:ascii="Times New Roman"/>
          <w:color w:val="000000" w:themeColor="text1"/>
          <w:kern w:val="0"/>
          <w:szCs w:val="32"/>
          <w14:textFill>
            <w14:solidFill>
              <w14:schemeClr w14:val="tx1"/>
            </w14:solidFill>
          </w14:textFill>
        </w:rPr>
        <w:t>以上、3000万元以下的项目，项目可行性研究报告审批可简化为项目投资估算明细表审批。</w:t>
      </w:r>
      <w:r>
        <w:rPr>
          <w:rFonts w:ascii="Times New Roman"/>
          <w:color w:val="000000" w:themeColor="text1"/>
          <w:kern w:val="0"/>
          <w14:textFill>
            <w14:solidFill>
              <w14:schemeClr w14:val="tx1"/>
            </w14:solidFill>
          </w14:textFill>
        </w:rPr>
        <w:t>估算投资3000万元</w:t>
      </w:r>
      <w:r>
        <w:rPr>
          <w:rFonts w:hint="eastAsia" w:ascii="Times New Roman"/>
          <w:color w:val="000000" w:themeColor="text1"/>
          <w:kern w:val="0"/>
          <w14:textFill>
            <w14:solidFill>
              <w14:schemeClr w14:val="tx1"/>
            </w14:solidFill>
          </w14:textFill>
        </w:rPr>
        <w:t>（含）</w:t>
      </w:r>
      <w:r>
        <w:rPr>
          <w:rFonts w:ascii="Times New Roman"/>
          <w:color w:val="000000" w:themeColor="text1"/>
          <w:kern w:val="0"/>
          <w14:textFill>
            <w14:solidFill>
              <w14:schemeClr w14:val="tx1"/>
            </w14:solidFill>
          </w14:textFill>
        </w:rPr>
        <w:t>以上的项目，</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须</w:t>
      </w:r>
      <w:r>
        <w:rPr>
          <w:rFonts w:hint="eastAsia" w:ascii="Times New Roman"/>
          <w:color w:val="000000" w:themeColor="text1"/>
          <w:kern w:val="0"/>
          <w14:textFill>
            <w14:solidFill>
              <w14:schemeClr w14:val="tx1"/>
            </w14:solidFill>
          </w14:textFill>
        </w:rPr>
        <w:t>上</w:t>
      </w:r>
      <w:r>
        <w:rPr>
          <w:rFonts w:ascii="Times New Roman"/>
          <w:color w:val="000000" w:themeColor="text1"/>
          <w:kern w:val="0"/>
          <w14:textFill>
            <w14:solidFill>
              <w14:schemeClr w14:val="tx1"/>
            </w14:solidFill>
          </w14:textFill>
        </w:rPr>
        <w:t>报</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政府</w:t>
      </w:r>
      <w:r>
        <w:rPr>
          <w:rFonts w:hint="eastAsia" w:ascii="Times New Roman"/>
          <w:color w:val="000000" w:themeColor="text1"/>
          <w:kern w:val="0"/>
          <w14:textFill>
            <w14:solidFill>
              <w14:schemeClr w14:val="tx1"/>
            </w14:solidFill>
          </w14:textFill>
        </w:rPr>
        <w:t>批准后，</w:t>
      </w:r>
      <w:r>
        <w:rPr>
          <w:rFonts w:ascii="Times New Roman"/>
          <w:color w:val="000000" w:themeColor="text1"/>
          <w:kern w:val="0"/>
          <w14:textFill>
            <w14:solidFill>
              <w14:schemeClr w14:val="tx1"/>
            </w14:solidFill>
          </w14:textFill>
        </w:rPr>
        <w:t>方可批复项目可行性研究报告。</w:t>
      </w:r>
    </w:p>
    <w:p>
      <w:pPr>
        <w:ind w:firstLine="622" w:firstLineChars="200"/>
        <w:contextualSpacing/>
        <w:rPr>
          <w:rFonts w:ascii="Times New Roman"/>
          <w:color w:val="000000" w:themeColor="text1"/>
          <w:kern w:val="0"/>
          <w:szCs w:val="32"/>
          <w14:textFill>
            <w14:solidFill>
              <w14:schemeClr w14:val="tx1"/>
            </w14:solidFill>
          </w14:textFill>
        </w:rPr>
      </w:pPr>
      <w:r>
        <w:rPr>
          <w:rFonts w:ascii="Times New Roman"/>
          <w:color w:val="000000" w:themeColor="text1"/>
          <w:kern w:val="0"/>
          <w:szCs w:val="32"/>
          <w14:textFill>
            <w14:solidFill>
              <w14:schemeClr w14:val="tx1"/>
            </w14:solidFill>
          </w14:textFill>
        </w:rPr>
        <w:t>交通，水利、供水、排水，林业、湿地公园</w:t>
      </w:r>
      <w:r>
        <w:rPr>
          <w:rFonts w:hint="eastAsia" w:ascii="Times New Roman"/>
          <w:color w:val="000000" w:themeColor="text1"/>
          <w:kern w:val="0"/>
          <w:szCs w:val="32"/>
          <w14:textFill>
            <w14:solidFill>
              <w14:schemeClr w14:val="tx1"/>
            </w14:solidFill>
          </w14:textFill>
        </w:rPr>
        <w:t>等</w:t>
      </w:r>
      <w:r>
        <w:rPr>
          <w:rFonts w:ascii="Times New Roman"/>
          <w:color w:val="000000" w:themeColor="text1"/>
          <w:kern w:val="0"/>
          <w:szCs w:val="32"/>
          <w14:textFill>
            <w14:solidFill>
              <w14:schemeClr w14:val="tx1"/>
            </w14:solidFill>
          </w14:textFill>
        </w:rPr>
        <w:t>项目可行性研究报告（投资估算明细表）分别由交通、水务、自然资源等行业主管部门组织评审；房屋建筑（含代建类）、市政基础设施、城市公园绿地等其他项目可行性研究报告（投资估算明细表）由</w:t>
      </w:r>
      <w:r>
        <w:rPr>
          <w:rFonts w:hint="eastAsia" w:ascii="Times New Roman"/>
          <w:color w:val="000000" w:themeColor="text1"/>
          <w:kern w:val="0"/>
          <w:szCs w:val="32"/>
          <w14:textFill>
            <w14:solidFill>
              <w14:schemeClr w14:val="tx1"/>
            </w14:solidFill>
          </w14:textFill>
        </w:rPr>
        <w:t>镇城管住建和农业农村局</w:t>
      </w:r>
      <w:r>
        <w:rPr>
          <w:rFonts w:ascii="Times New Roman"/>
          <w:color w:val="000000" w:themeColor="text1"/>
          <w:kern w:val="0"/>
          <w:szCs w:val="32"/>
          <w14:textFill>
            <w14:solidFill>
              <w14:schemeClr w14:val="tx1"/>
            </w14:solidFill>
          </w14:textFill>
        </w:rPr>
        <w:t>组织评审。</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可行性研究报告应对建设项目在技术、经济上是否合理可行及对环境等外部因素的影响进行全面分析论证，达到国家所规定的工作深度。</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总投资5亿元（含）以上或</w:t>
      </w:r>
      <w:r>
        <w:rPr>
          <w:rFonts w:ascii="Times New Roman"/>
          <w:color w:val="000000" w:themeColor="text1"/>
          <w:kern w:val="0"/>
          <w14:textFill>
            <w14:solidFill>
              <w14:schemeClr w14:val="tx1"/>
            </w14:solidFill>
          </w14:textFill>
        </w:rPr>
        <w:t>对经济、社会和环境有重大影响的政府投资项目，</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在审批前应当</w:t>
      </w:r>
      <w:r>
        <w:rPr>
          <w:rFonts w:hint="eastAsia" w:ascii="Times New Roman"/>
          <w:color w:val="000000" w:themeColor="text1"/>
          <w:kern w:val="0"/>
          <w14:textFill>
            <w14:solidFill>
              <w14:schemeClr w14:val="tx1"/>
            </w14:solidFill>
          </w14:textFill>
        </w:rPr>
        <w:t>通过本部门门户网站予以公示，畅通公众咨询、投诉、提出意见建议渠道，接受社会监督</w:t>
      </w:r>
      <w:r>
        <w:rPr>
          <w:rFonts w:ascii="Times New Roman"/>
          <w:color w:val="000000" w:themeColor="text1"/>
          <w:kern w:val="0"/>
          <w14:textFill>
            <w14:solidFill>
              <w14:schemeClr w14:val="tx1"/>
            </w14:solidFill>
          </w14:textFill>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行业主管部门和项目单位对其送审的前期工作成果质量和真实性负责。前期工作成果必须符合有关法律、法规、规章的规定和技术规范的要求。</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二</w:t>
      </w:r>
      <w:r>
        <w:rPr>
          <w:rFonts w:ascii="Times New Roman" w:eastAsia="黑体"/>
          <w:color w:val="000000" w:themeColor="text1"/>
          <w:kern w:val="0"/>
          <w14:textFill>
            <w14:solidFill>
              <w14:schemeClr w14:val="tx1"/>
            </w14:solidFill>
          </w14:textFill>
        </w:rPr>
        <w:t>十条</w:t>
      </w:r>
      <w:r>
        <w:rPr>
          <w:rFonts w:ascii="Times New Roman"/>
          <w:color w:val="000000" w:themeColor="text1"/>
          <w:kern w:val="0"/>
          <w14:textFill>
            <w14:solidFill>
              <w14:schemeClr w14:val="tx1"/>
            </w14:solidFill>
          </w14:textFill>
        </w:rPr>
        <w:t xml:space="preserve"> </w:t>
      </w:r>
      <w:r>
        <w:rPr>
          <w:rFonts w:ascii="Times New Roman"/>
          <w:color w:val="000000" w:themeColor="text1"/>
          <w:kern w:val="0"/>
          <w:szCs w:val="32"/>
          <w14:textFill>
            <w14:solidFill>
              <w14:schemeClr w14:val="tx1"/>
            </w14:solidFill>
          </w14:textFill>
        </w:rPr>
        <w:t xml:space="preserve"> </w:t>
      </w:r>
      <w:r>
        <w:rPr>
          <w:rFonts w:ascii="Times New Roman"/>
          <w:color w:val="000000" w:themeColor="text1"/>
          <w:kern w:val="0"/>
          <w14:textFill>
            <w14:solidFill>
              <w14:schemeClr w14:val="tx1"/>
            </w14:solidFill>
          </w14:textFill>
        </w:rPr>
        <w:t>不须与建设工程同时施工、安装的单纯设备购置类项目（如办公家具和办公设备购置、专用材料设备购置、专用工具和仪器购置等）</w:t>
      </w:r>
      <w:r>
        <w:rPr>
          <w:rFonts w:ascii="Times New Roman"/>
          <w:color w:val="000000" w:themeColor="text1"/>
          <w:kern w:val="0"/>
          <w:szCs w:val="32"/>
          <w14:textFill>
            <w14:solidFill>
              <w14:schemeClr w14:val="tx1"/>
            </w14:solidFill>
          </w14:textFill>
        </w:rPr>
        <w:t>，总投资200万元以下的装修工程、修缮工程，总投资100万元以下的其他工程项目，不纳入基建管理范围，按政府采购法律法规有关规定组织实施</w:t>
      </w:r>
      <w:r>
        <w:rPr>
          <w:rFonts w:ascii="Times New Roman"/>
          <w:color w:val="000000" w:themeColor="text1"/>
          <w:kern w:val="0"/>
          <w14:textFill>
            <w14:solidFill>
              <w14:schemeClr w14:val="tx1"/>
            </w14:solidFill>
          </w14:textFill>
        </w:rPr>
        <w:t>，无需办理立项审批手续。</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第二十</w:t>
      </w:r>
      <w:r>
        <w:rPr>
          <w:rFonts w:hint="eastAsia" w:ascii="Times New Roman" w:eastAsia="黑体"/>
          <w:color w:val="000000" w:themeColor="text1"/>
          <w:kern w:val="0"/>
          <w14:textFill>
            <w14:solidFill>
              <w14:schemeClr w14:val="tx1"/>
            </w14:solidFill>
          </w14:textFill>
        </w:rPr>
        <w:t>一</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政府投资项目可行性研究报告（投资估算明细表）经批复后，项目单位应当</w:t>
      </w:r>
      <w:r>
        <w:rPr>
          <w:rFonts w:hint="eastAsia" w:ascii="Times New Roman"/>
          <w:color w:val="000000" w:themeColor="text1"/>
          <w:kern w:val="0"/>
          <w14:textFill>
            <w14:solidFill>
              <w14:schemeClr w14:val="tx1"/>
            </w14:solidFill>
          </w14:textFill>
        </w:rPr>
        <w:t>委托</w:t>
      </w:r>
      <w:r>
        <w:rPr>
          <w:rFonts w:ascii="Times New Roman"/>
          <w:color w:val="000000" w:themeColor="text1"/>
          <w:kern w:val="0"/>
          <w14:textFill>
            <w14:solidFill>
              <w14:schemeClr w14:val="tx1"/>
            </w14:solidFill>
          </w14:textFill>
        </w:rPr>
        <w:t>具有相应资质的单位，依照批准的可行性研究报告（投资估算明细表）进行初步设计和编制项目概算。</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第二十</w:t>
      </w:r>
      <w:r>
        <w:rPr>
          <w:rFonts w:hint="eastAsia" w:ascii="Times New Roman" w:eastAsia="黑体"/>
          <w:color w:val="000000" w:themeColor="text1"/>
          <w:kern w:val="0"/>
          <w14:textFill>
            <w14:solidFill>
              <w14:schemeClr w14:val="tx1"/>
            </w14:solidFill>
          </w14:textFill>
        </w:rPr>
        <w:t>二</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初步设计必须符合国家有关部门颁发的建设工程设计文件编制深度的规定。</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初步设计应按工程类别报</w:t>
      </w:r>
      <w:r>
        <w:rPr>
          <w:rFonts w:hint="eastAsia" w:ascii="Times New Roman"/>
          <w:color w:val="000000" w:themeColor="text1"/>
          <w:kern w:val="0"/>
          <w:szCs w:val="32"/>
          <w14:textFill>
            <w14:solidFill>
              <w14:schemeClr w14:val="tx1"/>
            </w14:solidFill>
          </w14:textFill>
        </w:rPr>
        <w:t>镇城管住建和农业农村局</w:t>
      </w:r>
      <w:r>
        <w:rPr>
          <w:rFonts w:hint="eastAsia" w:ascii="Times New Roman"/>
          <w:color w:val="000000" w:themeColor="text1"/>
          <w:kern w:val="0"/>
          <w14:textFill>
            <w14:solidFill>
              <w14:schemeClr w14:val="tx1"/>
            </w14:solidFill>
          </w14:textFill>
        </w:rPr>
        <w:t>等</w:t>
      </w:r>
      <w:r>
        <w:rPr>
          <w:rFonts w:ascii="Times New Roman"/>
          <w:color w:val="000000" w:themeColor="text1"/>
          <w:kern w:val="0"/>
          <w14:textFill>
            <w14:solidFill>
              <w14:schemeClr w14:val="tx1"/>
            </w14:solidFill>
          </w14:textFill>
        </w:rPr>
        <w:t>相关行业主管部门审查。初步设计确定的投资规模、建设规模不得超过</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可行性研究报告范围，并详列各单项工程或单位工程规模与标准、征地规模、主要材料和设备选定等。</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第二十</w:t>
      </w:r>
      <w:r>
        <w:rPr>
          <w:rFonts w:hint="eastAsia" w:ascii="Times New Roman" w:eastAsia="黑体"/>
          <w:color w:val="000000" w:themeColor="text1"/>
          <w:kern w:val="0"/>
          <w14:textFill>
            <w14:solidFill>
              <w14:schemeClr w14:val="tx1"/>
            </w14:solidFill>
          </w14:textFill>
        </w:rPr>
        <w:t>三</w:t>
      </w:r>
      <w:r>
        <w:rPr>
          <w:rFonts w:ascii="Times New Roman" w:eastAsia="黑体"/>
          <w:color w:val="000000" w:themeColor="text1"/>
          <w:kern w:val="0"/>
          <w14:textFill>
            <w14:solidFill>
              <w14:schemeClr w14:val="tx1"/>
            </w14:solidFill>
          </w14:textFill>
        </w:rPr>
        <w:t xml:space="preserve">条 </w:t>
      </w:r>
      <w:r>
        <w:rPr>
          <w:rFonts w:ascii="Times New Roman" w:eastAsia="黑体"/>
          <w:b/>
          <w:color w:val="000000" w:themeColor="text1"/>
          <w:kern w:val="0"/>
          <w14:textFill>
            <w14:solidFill>
              <w14:schemeClr w14:val="tx1"/>
            </w14:solidFill>
          </w14:textFill>
        </w:rPr>
        <w:t xml:space="preserve"> </w:t>
      </w:r>
      <w:r>
        <w:rPr>
          <w:rFonts w:ascii="Times New Roman"/>
          <w:bCs/>
          <w:color w:val="000000" w:themeColor="text1"/>
          <w:kern w:val="0"/>
          <w14:textFill>
            <w14:solidFill>
              <w14:schemeClr w14:val="tx1"/>
            </w14:solidFill>
          </w14:textFill>
        </w:rPr>
        <w:t>项目概算应</w:t>
      </w:r>
      <w:r>
        <w:rPr>
          <w:rFonts w:ascii="Times New Roman"/>
          <w:color w:val="000000" w:themeColor="text1"/>
          <w:kern w:val="0"/>
          <w14:textFill>
            <w14:solidFill>
              <w14:schemeClr w14:val="tx1"/>
            </w14:solidFill>
          </w14:textFill>
        </w:rPr>
        <w:t>依据国家和省相关专业计价依据编制和审核</w:t>
      </w:r>
      <w:r>
        <w:rPr>
          <w:rFonts w:ascii="Times New Roman"/>
          <w:bCs/>
          <w:color w:val="000000" w:themeColor="text1"/>
          <w:kern w:val="0"/>
          <w14:textFill>
            <w14:solidFill>
              <w14:schemeClr w14:val="tx1"/>
            </w14:solidFill>
          </w14:textFill>
        </w:rPr>
        <w:t>，并</w:t>
      </w:r>
      <w:r>
        <w:rPr>
          <w:rFonts w:ascii="Times New Roman"/>
          <w:color w:val="000000" w:themeColor="text1"/>
          <w:kern w:val="0"/>
          <w14:textFill>
            <w14:solidFill>
              <w14:schemeClr w14:val="tx1"/>
            </w14:solidFill>
          </w14:textFill>
        </w:rPr>
        <w:t>应专项列明征地拆迁及管线迁移费用。</w:t>
      </w:r>
    </w:p>
    <w:p>
      <w:pPr>
        <w:ind w:firstLine="622" w:firstLineChars="200"/>
        <w:contextualSpacing/>
        <w:rPr>
          <w:rFonts w:ascii="Times New Roman"/>
          <w:bCs/>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项目概算经</w:t>
      </w:r>
      <w:r>
        <w:rPr>
          <w:rFonts w:ascii="Times New Roman"/>
          <w:bCs/>
          <w:color w:val="000000" w:themeColor="text1"/>
          <w:kern w:val="0"/>
          <w14:textFill>
            <w14:solidFill>
              <w14:schemeClr w14:val="tx1"/>
            </w14:solidFill>
          </w14:textFill>
        </w:rPr>
        <w:t>行业主管部门</w:t>
      </w:r>
      <w:r>
        <w:rPr>
          <w:rFonts w:hint="eastAsia" w:ascii="Times New Roman"/>
          <w:bCs/>
          <w:color w:val="000000" w:themeColor="text1"/>
          <w:kern w:val="0"/>
          <w14:textFill>
            <w14:solidFill>
              <w14:schemeClr w14:val="tx1"/>
            </w14:solidFill>
          </w14:textFill>
        </w:rPr>
        <w:t>组织</w:t>
      </w:r>
      <w:r>
        <w:rPr>
          <w:rFonts w:ascii="Times New Roman"/>
          <w:bCs/>
          <w:color w:val="000000" w:themeColor="text1"/>
          <w:kern w:val="0"/>
          <w14:textFill>
            <w14:solidFill>
              <w14:schemeClr w14:val="tx1"/>
            </w14:solidFill>
          </w14:textFill>
        </w:rPr>
        <w:t>审核通过后，报</w:t>
      </w:r>
      <w:r>
        <w:rPr>
          <w:rFonts w:hint="eastAsia" w:ascii="Times New Roman"/>
          <w:color w:val="000000" w:themeColor="text1"/>
          <w:kern w:val="0"/>
          <w14:textFill>
            <w14:solidFill>
              <w14:schemeClr w14:val="tx1"/>
            </w14:solidFill>
          </w14:textFill>
        </w:rPr>
        <w:t>镇经济发展和科技统计局</w:t>
      </w:r>
      <w:r>
        <w:rPr>
          <w:rFonts w:ascii="Times New Roman"/>
          <w:bCs/>
          <w:color w:val="000000" w:themeColor="text1"/>
          <w:kern w:val="0"/>
          <w14:textFill>
            <w14:solidFill>
              <w14:schemeClr w14:val="tx1"/>
            </w14:solidFill>
          </w14:textFill>
        </w:rPr>
        <w:t>审批</w:t>
      </w:r>
      <w:r>
        <w:rPr>
          <w:rFonts w:ascii="Times New Roman"/>
          <w:color w:val="000000" w:themeColor="text1"/>
          <w:kern w:val="0"/>
          <w14:textFill>
            <w14:solidFill>
              <w14:schemeClr w14:val="tx1"/>
            </w14:solidFill>
          </w14:textFill>
        </w:rPr>
        <w:t>（征地拆迁及管线迁移费用按实列支）</w:t>
      </w:r>
      <w:r>
        <w:rPr>
          <w:rFonts w:ascii="Times New Roman"/>
          <w:bCs/>
          <w:color w:val="000000" w:themeColor="text1"/>
          <w:kern w:val="0"/>
          <w14:textFill>
            <w14:solidFill>
              <w14:schemeClr w14:val="tx1"/>
            </w14:solidFill>
          </w14:textFill>
        </w:rPr>
        <w:t>。</w:t>
      </w:r>
    </w:p>
    <w:p>
      <w:pPr>
        <w:ind w:firstLine="622" w:firstLineChars="200"/>
        <w:contextualSpacing/>
        <w:rPr>
          <w:rFonts w:ascii="Times New Roman"/>
          <w:bCs/>
          <w:color w:val="000000" w:themeColor="text1"/>
          <w:kern w:val="0"/>
          <w14:textFill>
            <w14:solidFill>
              <w14:schemeClr w14:val="tx1"/>
            </w14:solidFill>
          </w14:textFill>
        </w:rPr>
      </w:pPr>
      <w:r>
        <w:rPr>
          <w:rFonts w:ascii="Times New Roman"/>
          <w:bCs/>
          <w:color w:val="000000" w:themeColor="text1"/>
          <w:kern w:val="0"/>
          <w14:textFill>
            <w14:solidFill>
              <w14:schemeClr w14:val="tx1"/>
            </w14:solidFill>
          </w14:textFill>
        </w:rPr>
        <w:t>交通，水利、供水、排水，林业、湿地公园等政府投资项目概算分别由交通、水务、自然资源等行业主管部门组织审核；房屋建筑（含代建类）、市政基础设施、城市公园绿地等其他政府投资项目概算由</w:t>
      </w:r>
      <w:r>
        <w:rPr>
          <w:rFonts w:hint="eastAsia" w:ascii="Times New Roman"/>
          <w:color w:val="000000" w:themeColor="text1"/>
          <w:kern w:val="0"/>
          <w:szCs w:val="32"/>
          <w14:textFill>
            <w14:solidFill>
              <w14:schemeClr w14:val="tx1"/>
            </w14:solidFill>
          </w14:textFill>
        </w:rPr>
        <w:t>镇城管住建和农业农村局</w:t>
      </w:r>
      <w:r>
        <w:rPr>
          <w:rFonts w:ascii="Times New Roman"/>
          <w:bCs/>
          <w:color w:val="000000" w:themeColor="text1"/>
          <w:kern w:val="0"/>
          <w14:textFill>
            <w14:solidFill>
              <w14:schemeClr w14:val="tx1"/>
            </w14:solidFill>
          </w14:textFill>
        </w:rPr>
        <w:t>组织审核。</w:t>
      </w:r>
    </w:p>
    <w:p>
      <w:pPr>
        <w:ind w:firstLine="714"/>
        <w:contextualSpacing/>
        <w:rPr>
          <w:rFonts w:ascii="Times New Roman"/>
          <w:bCs/>
          <w:color w:val="000000" w:themeColor="text1"/>
          <w:kern w:val="0"/>
          <w14:textFill>
            <w14:solidFill>
              <w14:schemeClr w14:val="tx1"/>
            </w14:solidFill>
          </w14:textFill>
        </w:rPr>
      </w:pPr>
      <w:r>
        <w:rPr>
          <w:rFonts w:ascii="Times New Roman"/>
          <w:bCs/>
          <w:color w:val="000000" w:themeColor="text1"/>
          <w:kern w:val="0"/>
          <w14:textFill>
            <w14:solidFill>
              <w14:schemeClr w14:val="tx1"/>
            </w14:solidFill>
          </w14:textFill>
        </w:rPr>
        <w:t>概算投资原则上不得超过立项批复的估算投资。项目概算审批前，初步设计提出的概算投资超过立项批复的估算投资的，行业主管部门原则上不受理项目初步设计审查申请和概算审核申请。经行业主管部门征求</w:t>
      </w:r>
      <w:r>
        <w:rPr>
          <w:rFonts w:hint="eastAsia" w:ascii="Times New Roman"/>
          <w:color w:val="000000" w:themeColor="text1"/>
          <w:kern w:val="0"/>
          <w14:textFill>
            <w14:solidFill>
              <w14:schemeClr w14:val="tx1"/>
            </w14:solidFill>
          </w14:textFill>
        </w:rPr>
        <w:t>镇经济发展和科技统计局</w:t>
      </w:r>
      <w:r>
        <w:rPr>
          <w:rFonts w:ascii="Times New Roman"/>
          <w:bCs/>
          <w:color w:val="000000" w:themeColor="text1"/>
          <w:kern w:val="0"/>
          <w14:textFill>
            <w14:solidFill>
              <w14:schemeClr w14:val="tx1"/>
            </w14:solidFill>
          </w14:textFill>
        </w:rPr>
        <w:t>、</w:t>
      </w:r>
      <w:r>
        <w:rPr>
          <w:rFonts w:hint="eastAsia" w:ascii="Times New Roman"/>
          <w:color w:val="000000" w:themeColor="text1"/>
          <w:kern w:val="0"/>
          <w14:textFill>
            <w14:solidFill>
              <w14:schemeClr w14:val="tx1"/>
            </w14:solidFill>
          </w14:textFill>
        </w:rPr>
        <w:t>镇财政分局</w:t>
      </w:r>
      <w:r>
        <w:rPr>
          <w:rFonts w:ascii="Times New Roman"/>
          <w:bCs/>
          <w:color w:val="000000" w:themeColor="text1"/>
          <w:kern w:val="0"/>
          <w14:textFill>
            <w14:solidFill>
              <w14:schemeClr w14:val="tx1"/>
            </w14:solidFill>
          </w14:textFill>
        </w:rPr>
        <w:t>意见，一致认为确需受理的，由行业主管部门组织审核项目概算，按以下方式办理审批：</w:t>
      </w:r>
    </w:p>
    <w:p>
      <w:pPr>
        <w:ind w:firstLine="714"/>
        <w:contextualSpacing/>
        <w:rPr>
          <w:rFonts w:ascii="Times New Roman"/>
          <w:bCs/>
          <w:color w:val="000000" w:themeColor="text1"/>
          <w:kern w:val="0"/>
          <w14:textFill>
            <w14:solidFill>
              <w14:schemeClr w14:val="tx1"/>
            </w14:solidFill>
          </w14:textFill>
        </w:rPr>
      </w:pPr>
      <w:r>
        <w:rPr>
          <w:rFonts w:ascii="Times New Roman"/>
          <w:bCs/>
          <w:color w:val="000000" w:themeColor="text1"/>
          <w:kern w:val="0"/>
          <w14:textFill>
            <w14:solidFill>
              <w14:schemeClr w14:val="tx1"/>
            </w14:solidFill>
          </w14:textFill>
        </w:rPr>
        <w:t>（一）经审核后概算投资超出部分控制在10%以内，且增加金额不超过限额的</w:t>
      </w:r>
      <w:r>
        <w:rPr>
          <w:rFonts w:hint="eastAsia" w:ascii="Times New Roman"/>
          <w:bCs/>
          <w:color w:val="000000" w:themeColor="text1"/>
          <w:kern w:val="0"/>
          <w14:textFill>
            <w14:solidFill>
              <w14:schemeClr w14:val="tx1"/>
            </w14:solidFill>
          </w14:textFill>
        </w:rPr>
        <w:t>（</w:t>
      </w:r>
      <w:r>
        <w:rPr>
          <w:rFonts w:ascii="Times New Roman"/>
          <w:bCs/>
          <w:color w:val="000000" w:themeColor="text1"/>
          <w:kern w:val="0"/>
          <w14:textFill>
            <w14:solidFill>
              <w14:schemeClr w14:val="tx1"/>
            </w14:solidFill>
          </w14:textFill>
        </w:rPr>
        <w:t>交通建设项目增加金额</w:t>
      </w:r>
      <w:r>
        <w:rPr>
          <w:rFonts w:hint="eastAsia" w:ascii="Times New Roman"/>
          <w:bCs/>
          <w:color w:val="000000" w:themeColor="text1"/>
          <w:kern w:val="0"/>
          <w14:textFill>
            <w14:solidFill>
              <w14:schemeClr w14:val="tx1"/>
            </w14:solidFill>
          </w14:textFill>
        </w:rPr>
        <w:t>在</w:t>
      </w:r>
      <w:r>
        <w:rPr>
          <w:rFonts w:ascii="Times New Roman"/>
          <w:bCs/>
          <w:color w:val="000000" w:themeColor="text1"/>
          <w:kern w:val="0"/>
          <w14:textFill>
            <w14:solidFill>
              <w14:schemeClr w14:val="tx1"/>
            </w14:solidFill>
          </w14:textFill>
        </w:rPr>
        <w:t>5000万元以内，</w:t>
      </w:r>
      <w:r>
        <w:rPr>
          <w:rFonts w:hint="eastAsia" w:ascii="Times New Roman"/>
          <w:bCs/>
          <w:color w:val="000000" w:themeColor="text1"/>
          <w:kern w:val="0"/>
          <w14:textFill>
            <w14:solidFill>
              <w14:schemeClr w14:val="tx1"/>
            </w14:solidFill>
          </w14:textFill>
        </w:rPr>
        <w:t>其他</w:t>
      </w:r>
      <w:r>
        <w:rPr>
          <w:rFonts w:ascii="Times New Roman"/>
          <w:bCs/>
          <w:color w:val="000000" w:themeColor="text1"/>
          <w:kern w:val="0"/>
          <w14:textFill>
            <w14:solidFill>
              <w14:schemeClr w14:val="tx1"/>
            </w14:solidFill>
          </w14:textFill>
        </w:rPr>
        <w:t>项目增加金额</w:t>
      </w:r>
      <w:r>
        <w:rPr>
          <w:rFonts w:hint="eastAsia" w:ascii="Times New Roman"/>
          <w:bCs/>
          <w:color w:val="000000" w:themeColor="text1"/>
          <w:kern w:val="0"/>
          <w14:textFill>
            <w14:solidFill>
              <w14:schemeClr w14:val="tx1"/>
            </w14:solidFill>
          </w14:textFill>
        </w:rPr>
        <w:t>在</w:t>
      </w:r>
      <w:r>
        <w:rPr>
          <w:rFonts w:ascii="Times New Roman"/>
          <w:bCs/>
          <w:color w:val="000000" w:themeColor="text1"/>
          <w:kern w:val="0"/>
          <w14:textFill>
            <w14:solidFill>
              <w14:schemeClr w14:val="tx1"/>
            </w14:solidFill>
          </w14:textFill>
        </w:rPr>
        <w:t>500万元以内</w:t>
      </w:r>
      <w:r>
        <w:rPr>
          <w:rFonts w:hint="eastAsia" w:ascii="Times New Roman"/>
          <w:bCs/>
          <w:color w:val="000000" w:themeColor="text1"/>
          <w:kern w:val="0"/>
          <w14:textFill>
            <w14:solidFill>
              <w14:schemeClr w14:val="tx1"/>
            </w14:solidFill>
          </w14:textFill>
        </w:rPr>
        <w:t>）</w:t>
      </w:r>
      <w:r>
        <w:rPr>
          <w:rFonts w:ascii="Times New Roman"/>
          <w:bCs/>
          <w:color w:val="000000" w:themeColor="text1"/>
          <w:kern w:val="0"/>
          <w14:textFill>
            <w14:solidFill>
              <w14:schemeClr w14:val="tx1"/>
            </w14:solidFill>
          </w14:textFill>
        </w:rPr>
        <w:t>，项目业主单位应会同项目建设单位说明超出的原因并落实资金来源，报</w:t>
      </w:r>
      <w:r>
        <w:rPr>
          <w:rFonts w:hint="eastAsia" w:ascii="Times New Roman"/>
          <w:color w:val="000000" w:themeColor="text1"/>
          <w:kern w:val="0"/>
          <w14:textFill>
            <w14:solidFill>
              <w14:schemeClr w14:val="tx1"/>
            </w14:solidFill>
          </w14:textFill>
        </w:rPr>
        <w:t>镇经济发展和科技统计局</w:t>
      </w:r>
      <w:r>
        <w:rPr>
          <w:rFonts w:ascii="Times New Roman"/>
          <w:bCs/>
          <w:color w:val="000000" w:themeColor="text1"/>
          <w:kern w:val="0"/>
          <w14:textFill>
            <w14:solidFill>
              <w14:schemeClr w14:val="tx1"/>
            </w14:solidFill>
          </w14:textFill>
        </w:rPr>
        <w:t>办理概算批复手续。</w:t>
      </w:r>
    </w:p>
    <w:p>
      <w:pPr>
        <w:ind w:firstLine="714"/>
        <w:contextualSpacing/>
        <w:rPr>
          <w:rFonts w:ascii="Times New Roman"/>
          <w:bCs/>
          <w:color w:val="000000" w:themeColor="text1"/>
          <w:kern w:val="0"/>
          <w14:textFill>
            <w14:solidFill>
              <w14:schemeClr w14:val="tx1"/>
            </w14:solidFill>
          </w14:textFill>
        </w:rPr>
      </w:pPr>
      <w:r>
        <w:rPr>
          <w:rFonts w:ascii="Times New Roman"/>
          <w:bCs/>
          <w:color w:val="000000" w:themeColor="text1"/>
          <w:kern w:val="0"/>
          <w14:textFill>
            <w14:solidFill>
              <w14:schemeClr w14:val="tx1"/>
            </w14:solidFill>
          </w14:textFill>
        </w:rPr>
        <w:t>（二）经审核后概算投资超出部分超过10%</w:t>
      </w:r>
      <w:r>
        <w:rPr>
          <w:rFonts w:hint="eastAsia" w:ascii="Times New Roman"/>
          <w:bCs/>
          <w:color w:val="000000" w:themeColor="text1"/>
          <w:kern w:val="0"/>
          <w14:textFill>
            <w14:solidFill>
              <w14:schemeClr w14:val="tx1"/>
            </w14:solidFill>
          </w14:textFill>
        </w:rPr>
        <w:t>（含）</w:t>
      </w:r>
      <w:r>
        <w:rPr>
          <w:rFonts w:ascii="Times New Roman"/>
          <w:bCs/>
          <w:color w:val="000000" w:themeColor="text1"/>
          <w:kern w:val="0"/>
          <w14:textFill>
            <w14:solidFill>
              <w14:schemeClr w14:val="tx1"/>
            </w14:solidFill>
          </w14:textFill>
        </w:rPr>
        <w:t>以上的，或增加金额超过限额的（交通建设项目增加金额超过5000万元</w:t>
      </w:r>
      <w:r>
        <w:rPr>
          <w:rFonts w:hint="eastAsia" w:ascii="Times New Roman"/>
          <w:bCs/>
          <w:color w:val="000000" w:themeColor="text1"/>
          <w:kern w:val="0"/>
          <w14:textFill>
            <w14:solidFill>
              <w14:schemeClr w14:val="tx1"/>
            </w14:solidFill>
          </w14:textFill>
        </w:rPr>
        <w:t>（</w:t>
      </w:r>
      <w:r>
        <w:rPr>
          <w:rFonts w:ascii="Times New Roman"/>
          <w:bCs/>
          <w:color w:val="000000" w:themeColor="text1"/>
          <w:kern w:val="0"/>
          <w14:textFill>
            <w14:solidFill>
              <w14:schemeClr w14:val="tx1"/>
            </w14:solidFill>
          </w14:textFill>
        </w:rPr>
        <w:t>含</w:t>
      </w:r>
      <w:r>
        <w:rPr>
          <w:rFonts w:hint="eastAsia" w:ascii="Times New Roman"/>
          <w:bCs/>
          <w:color w:val="000000" w:themeColor="text1"/>
          <w:kern w:val="0"/>
          <w14:textFill>
            <w14:solidFill>
              <w14:schemeClr w14:val="tx1"/>
            </w14:solidFill>
          </w14:textFill>
        </w:rPr>
        <w:t>）</w:t>
      </w:r>
      <w:r>
        <w:rPr>
          <w:rFonts w:ascii="Times New Roman"/>
          <w:bCs/>
          <w:color w:val="000000" w:themeColor="text1"/>
          <w:kern w:val="0"/>
          <w14:textFill>
            <w14:solidFill>
              <w14:schemeClr w14:val="tx1"/>
            </w14:solidFill>
          </w14:textFill>
        </w:rPr>
        <w:t>，</w:t>
      </w:r>
      <w:r>
        <w:rPr>
          <w:rFonts w:hint="eastAsia" w:ascii="Times New Roman"/>
          <w:bCs/>
          <w:color w:val="000000" w:themeColor="text1"/>
          <w:kern w:val="0"/>
          <w14:textFill>
            <w14:solidFill>
              <w14:schemeClr w14:val="tx1"/>
            </w14:solidFill>
          </w14:textFill>
        </w:rPr>
        <w:t>其他</w:t>
      </w:r>
      <w:r>
        <w:rPr>
          <w:rFonts w:ascii="Times New Roman"/>
          <w:bCs/>
          <w:color w:val="000000" w:themeColor="text1"/>
          <w:kern w:val="0"/>
          <w14:textFill>
            <w14:solidFill>
              <w14:schemeClr w14:val="tx1"/>
            </w14:solidFill>
          </w14:textFill>
        </w:rPr>
        <w:t>项目增加金额超过500万元</w:t>
      </w:r>
      <w:r>
        <w:rPr>
          <w:rFonts w:hint="eastAsia" w:ascii="Times New Roman"/>
          <w:bCs/>
          <w:color w:val="000000" w:themeColor="text1"/>
          <w:kern w:val="0"/>
          <w14:textFill>
            <w14:solidFill>
              <w14:schemeClr w14:val="tx1"/>
            </w14:solidFill>
          </w14:textFill>
        </w:rPr>
        <w:t>（</w:t>
      </w:r>
      <w:r>
        <w:rPr>
          <w:rFonts w:ascii="Times New Roman"/>
          <w:bCs/>
          <w:color w:val="000000" w:themeColor="text1"/>
          <w:kern w:val="0"/>
          <w14:textFill>
            <w14:solidFill>
              <w14:schemeClr w14:val="tx1"/>
            </w14:solidFill>
          </w14:textFill>
        </w:rPr>
        <w:t>含</w:t>
      </w:r>
      <w:r>
        <w:rPr>
          <w:rFonts w:hint="eastAsia" w:ascii="Times New Roman"/>
          <w:bCs/>
          <w:color w:val="000000" w:themeColor="text1"/>
          <w:kern w:val="0"/>
          <w14:textFill>
            <w14:solidFill>
              <w14:schemeClr w14:val="tx1"/>
            </w14:solidFill>
          </w14:textFill>
        </w:rPr>
        <w:t>）</w:t>
      </w:r>
      <w:r>
        <w:rPr>
          <w:rFonts w:ascii="Times New Roman"/>
          <w:bCs/>
          <w:color w:val="000000" w:themeColor="text1"/>
          <w:kern w:val="0"/>
          <w14:textFill>
            <w14:solidFill>
              <w14:schemeClr w14:val="tx1"/>
            </w14:solidFill>
          </w14:textFill>
        </w:rPr>
        <w:t>），项目业主单位应会同项目建设单位说明超出的原因并落实资金来源，由</w:t>
      </w:r>
      <w:r>
        <w:rPr>
          <w:rFonts w:hint="eastAsia" w:ascii="Times New Roman"/>
          <w:color w:val="000000" w:themeColor="text1"/>
          <w:kern w:val="0"/>
          <w14:textFill>
            <w14:solidFill>
              <w14:schemeClr w14:val="tx1"/>
            </w14:solidFill>
          </w14:textFill>
        </w:rPr>
        <w:t>镇经济发展和科技统计局</w:t>
      </w:r>
      <w:r>
        <w:rPr>
          <w:rFonts w:ascii="Times New Roman"/>
          <w:bCs/>
          <w:color w:val="000000" w:themeColor="text1"/>
          <w:kern w:val="0"/>
          <w14:textFill>
            <w14:solidFill>
              <w14:schemeClr w14:val="tx1"/>
            </w14:solidFill>
          </w14:textFill>
        </w:rPr>
        <w:t>报经</w:t>
      </w:r>
      <w:r>
        <w:rPr>
          <w:rFonts w:hint="eastAsia" w:ascii="Times New Roman"/>
          <w:color w:val="000000" w:themeColor="text1"/>
          <w:kern w:val="0"/>
          <w14:textFill>
            <w14:solidFill>
              <w14:schemeClr w14:val="tx1"/>
            </w14:solidFill>
          </w14:textFill>
        </w:rPr>
        <w:t>镇</w:t>
      </w:r>
      <w:r>
        <w:rPr>
          <w:rFonts w:ascii="Times New Roman"/>
          <w:bCs/>
          <w:color w:val="000000" w:themeColor="text1"/>
          <w:kern w:val="0"/>
          <w14:textFill>
            <w14:solidFill>
              <w14:schemeClr w14:val="tx1"/>
            </w14:solidFill>
          </w14:textFill>
        </w:rPr>
        <w:t>政府</w:t>
      </w:r>
      <w:r>
        <w:rPr>
          <w:rFonts w:hint="eastAsia" w:ascii="Times New Roman"/>
          <w:bCs/>
          <w:color w:val="000000" w:themeColor="text1"/>
          <w:kern w:val="0"/>
          <w14:textFill>
            <w14:solidFill>
              <w14:schemeClr w14:val="tx1"/>
            </w14:solidFill>
          </w14:textFill>
        </w:rPr>
        <w:t>党委班子会议审议通过</w:t>
      </w:r>
      <w:r>
        <w:rPr>
          <w:rFonts w:ascii="Times New Roman"/>
          <w:bCs/>
          <w:color w:val="000000" w:themeColor="text1"/>
          <w:kern w:val="0"/>
          <w14:textFill>
            <w14:solidFill>
              <w14:schemeClr w14:val="tx1"/>
            </w14:solidFill>
          </w14:textFill>
        </w:rPr>
        <w:t>后，办理概算批复手续。</w:t>
      </w:r>
    </w:p>
    <w:p>
      <w:pPr>
        <w:ind w:firstLine="714"/>
        <w:contextualSpacing/>
        <w:rPr>
          <w:rFonts w:ascii="Times New Roman"/>
          <w:bCs/>
          <w:color w:val="000000" w:themeColor="text1"/>
          <w:kern w:val="0"/>
          <w14:textFill>
            <w14:solidFill>
              <w14:schemeClr w14:val="tx1"/>
            </w14:solidFill>
          </w14:textFill>
        </w:rPr>
      </w:pPr>
      <w:r>
        <w:rPr>
          <w:rFonts w:ascii="Times New Roman"/>
          <w:bCs/>
          <w:color w:val="000000" w:themeColor="text1"/>
          <w:kern w:val="0"/>
          <w14:textFill>
            <w14:solidFill>
              <w14:schemeClr w14:val="tx1"/>
            </w14:solidFill>
          </w14:textFill>
        </w:rPr>
        <w:t>经核定的投资概算是控制政府投资项目总投资和编制政府投资年度计划、安排财政性资金预算的依据。政府投资项目建设投资原则上不得超过经核定的概算投资。</w:t>
      </w:r>
    </w:p>
    <w:p>
      <w:pPr>
        <w:ind w:firstLine="622" w:firstLineChars="200"/>
        <w:contextualSpacing/>
        <w:rPr>
          <w:rFonts w:ascii="Times New Roman"/>
          <w:color w:val="000000" w:themeColor="text1"/>
          <w:kern w:val="0"/>
          <w14:textFill>
            <w14:solidFill>
              <w14:schemeClr w14:val="tx1"/>
            </w14:solidFill>
          </w14:textFill>
        </w:rPr>
      </w:pPr>
    </w:p>
    <w:p>
      <w:pPr>
        <w:contextualSpacing/>
        <w:jc w:val="center"/>
        <w:rPr>
          <w:rFonts w:ascii="Times New Roman" w:eastAsia="黑体"/>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第四章　项目实施</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第二十</w:t>
      </w:r>
      <w:r>
        <w:rPr>
          <w:rFonts w:hint="eastAsia" w:ascii="Times New Roman" w:eastAsia="黑体"/>
          <w:color w:val="000000" w:themeColor="text1"/>
          <w:kern w:val="0"/>
          <w14:textFill>
            <w14:solidFill>
              <w14:schemeClr w14:val="tx1"/>
            </w14:solidFill>
          </w14:textFill>
        </w:rPr>
        <w:t>四</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政府投资项目的建设单位按照下列方式确定：</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（一）按照国家有关规定应当实行项目法人责任制的项目，应当依法组建项目法人</w:t>
      </w:r>
      <w:r>
        <w:rPr>
          <w:rFonts w:hint="eastAsia" w:ascii="Times New Roman"/>
          <w:color w:val="000000" w:themeColor="text1"/>
          <w:kern w:val="0"/>
          <w14:textFill>
            <w14:solidFill>
              <w14:schemeClr w14:val="tx1"/>
            </w14:solidFill>
          </w14:textFill>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（二）不实行项目法人责任制的项目</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由政府设立的专业代建机构作为建设单位。经</w:t>
      </w:r>
      <w:r>
        <w:rPr>
          <w:rFonts w:hint="eastAsia" w:ascii="Times New Roman"/>
          <w:color w:val="000000" w:themeColor="text1"/>
          <w:kern w:val="0"/>
          <w14:textFill>
            <w14:solidFill>
              <w14:schemeClr w14:val="tx1"/>
            </w14:solidFill>
          </w14:textFill>
        </w:rPr>
        <w:t>镇政府</w:t>
      </w:r>
      <w:r>
        <w:rPr>
          <w:rFonts w:ascii="Times New Roman"/>
          <w:color w:val="000000" w:themeColor="text1"/>
          <w:kern w:val="0"/>
          <w14:textFill>
            <w14:solidFill>
              <w14:schemeClr w14:val="tx1"/>
            </w14:solidFill>
          </w14:textFill>
        </w:rPr>
        <w:t>批准实行社会代建的，应当通过招标确定代建单位</w:t>
      </w:r>
      <w:r>
        <w:rPr>
          <w:rFonts w:hint="eastAsia" w:ascii="Times New Roman"/>
          <w:color w:val="000000" w:themeColor="text1"/>
          <w:kern w:val="0"/>
          <w14:textFill>
            <w14:solidFill>
              <w14:schemeClr w14:val="tx1"/>
            </w14:solidFill>
          </w14:textFill>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（三）不具备实行项目法人责任制或者代建制条件的项目，经</w:t>
      </w:r>
      <w:r>
        <w:rPr>
          <w:rFonts w:hint="eastAsia" w:ascii="Times New Roman"/>
          <w:color w:val="000000" w:themeColor="text1"/>
          <w:kern w:val="0"/>
          <w14:textFill>
            <w14:solidFill>
              <w14:schemeClr w14:val="tx1"/>
            </w14:solidFill>
          </w14:textFill>
        </w:rPr>
        <w:t>镇政府</w:t>
      </w:r>
      <w:r>
        <w:rPr>
          <w:rFonts w:ascii="Times New Roman"/>
          <w:color w:val="000000" w:themeColor="text1"/>
          <w:kern w:val="0"/>
          <w14:textFill>
            <w14:solidFill>
              <w14:schemeClr w14:val="tx1"/>
            </w14:solidFill>
          </w14:textFill>
        </w:rPr>
        <w:t>批准实行项目主管部门责任制。</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第二十</w:t>
      </w:r>
      <w:r>
        <w:rPr>
          <w:rFonts w:hint="eastAsia" w:ascii="Times New Roman" w:eastAsia="黑体"/>
          <w:color w:val="000000" w:themeColor="text1"/>
          <w:kern w:val="0"/>
          <w14:textFill>
            <w14:solidFill>
              <w14:schemeClr w14:val="tx1"/>
            </w14:solidFill>
          </w14:textFill>
        </w:rPr>
        <w:t>五</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项目建设单位应当按照批准的初步设计及项目概算委托设计单位进行施工图设计，并编制项目预算。设计单位应严格依照经批准的概算总投资额和初步设计方案、单项工程和单位工程内容、建设标准进行施工图设计，禁止擅自扩大规模和提高标准。施工图设计文件应当按国家有关规定</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组织审查或由项目建设单位委托具有资质的中介机构审查后，按照项目管理隶属关系将施工图设计文件报行业主管部门审批</w:t>
      </w:r>
      <w:r>
        <w:rPr>
          <w:rFonts w:hint="eastAsia" w:ascii="Times New Roman"/>
          <w:color w:val="000000" w:themeColor="text1"/>
          <w:kern w:val="0"/>
          <w14:textFill>
            <w14:solidFill>
              <w14:schemeClr w14:val="tx1"/>
            </w14:solidFill>
          </w14:textFill>
        </w:rPr>
        <w:t>，</w:t>
      </w:r>
      <w:r>
        <w:rPr>
          <w:rFonts w:ascii="Times New Roman"/>
          <w:color w:val="000000" w:themeColor="text1"/>
          <w:kern w:val="0"/>
          <w14:textFill>
            <w14:solidFill>
              <w14:schemeClr w14:val="tx1"/>
            </w14:solidFill>
          </w14:textFill>
        </w:rPr>
        <w:t>施工图设计文件未经审查合格或审批不得使用。</w:t>
      </w:r>
    </w:p>
    <w:p>
      <w:pPr>
        <w:ind w:firstLine="622" w:firstLineChars="200"/>
        <w:contextualSpacing/>
        <w:rPr>
          <w:rFonts w:ascii="Times New Roman"/>
          <w:color w:val="FF0000"/>
          <w:kern w:val="0"/>
        </w:rPr>
      </w:pPr>
      <w:r>
        <w:rPr>
          <w:rFonts w:ascii="Times New Roman" w:eastAsia="黑体"/>
          <w:color w:val="FF0000"/>
          <w:kern w:val="0"/>
        </w:rPr>
        <w:t>第二十</w:t>
      </w:r>
      <w:r>
        <w:rPr>
          <w:rFonts w:hint="eastAsia" w:ascii="Times New Roman" w:eastAsia="黑体"/>
          <w:color w:val="FF0000"/>
          <w:kern w:val="0"/>
        </w:rPr>
        <w:t>六</w:t>
      </w:r>
      <w:r>
        <w:rPr>
          <w:rFonts w:ascii="Times New Roman" w:eastAsia="黑体"/>
          <w:color w:val="FF0000"/>
          <w:kern w:val="0"/>
        </w:rPr>
        <w:t>条</w:t>
      </w:r>
      <w:r>
        <w:rPr>
          <w:rFonts w:ascii="Times New Roman"/>
          <w:color w:val="FF0000"/>
          <w:kern w:val="0"/>
        </w:rPr>
        <w:t xml:space="preserve">  项目预算</w:t>
      </w:r>
      <w:r>
        <w:rPr>
          <w:rFonts w:hint="eastAsia" w:ascii="Times New Roman"/>
          <w:color w:val="FF0000"/>
          <w:kern w:val="0"/>
        </w:rPr>
        <w:t>、结算审</w:t>
      </w:r>
      <w:r>
        <w:rPr>
          <w:rFonts w:ascii="Times New Roman"/>
          <w:color w:val="FF0000"/>
          <w:kern w:val="0"/>
        </w:rPr>
        <w:t>核</w:t>
      </w:r>
      <w:r>
        <w:rPr>
          <w:rFonts w:hint="eastAsia" w:ascii="Times New Roman"/>
          <w:color w:val="FF0000"/>
          <w:kern w:val="0"/>
        </w:rPr>
        <w:t>由</w:t>
      </w:r>
      <w:r>
        <w:rPr>
          <w:rFonts w:hint="eastAsia" w:ascii="Times New Roman"/>
          <w:color w:val="FF0000"/>
          <w:kern w:val="0"/>
          <w:lang w:val="en-US" w:eastAsia="zh-CN"/>
        </w:rPr>
        <w:t>相应行业主管部门</w:t>
      </w:r>
      <w:r>
        <w:rPr>
          <w:rFonts w:hint="eastAsia" w:ascii="Times New Roman"/>
          <w:color w:val="FF0000"/>
          <w:kern w:val="0"/>
        </w:rPr>
        <w:t>进行审核</w:t>
      </w:r>
      <w:r>
        <w:rPr>
          <w:rFonts w:ascii="Times New Roman"/>
          <w:color w:val="FF0000"/>
          <w:kern w:val="0"/>
        </w:rPr>
        <w:t>。项目预算</w:t>
      </w:r>
      <w:r>
        <w:rPr>
          <w:rFonts w:hint="eastAsia" w:ascii="Times New Roman"/>
          <w:color w:val="FF0000"/>
          <w:kern w:val="0"/>
        </w:rPr>
        <w:t>原则上</w:t>
      </w:r>
      <w:r>
        <w:rPr>
          <w:rFonts w:ascii="Times New Roman"/>
          <w:color w:val="FF0000"/>
          <w:kern w:val="0"/>
        </w:rPr>
        <w:t>不得超过经</w:t>
      </w:r>
      <w:r>
        <w:rPr>
          <w:rFonts w:hint="eastAsia" w:ascii="Times New Roman"/>
          <w:color w:val="FF0000"/>
          <w:kern w:val="0"/>
        </w:rPr>
        <w:t>核定</w:t>
      </w:r>
      <w:r>
        <w:rPr>
          <w:rFonts w:ascii="Times New Roman"/>
          <w:color w:val="FF0000"/>
          <w:kern w:val="0"/>
        </w:rPr>
        <w:t>的项目概算，超过概算的，项目建设单位应当组织设计单位进行限额优化设计。</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第二十</w:t>
      </w:r>
      <w:r>
        <w:rPr>
          <w:rFonts w:hint="eastAsia" w:ascii="Times New Roman" w:eastAsia="黑体"/>
          <w:color w:val="000000" w:themeColor="text1"/>
          <w:kern w:val="0"/>
          <w14:textFill>
            <w14:solidFill>
              <w14:schemeClr w14:val="tx1"/>
            </w14:solidFill>
          </w14:textFill>
        </w:rPr>
        <w:t>七</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政府投资项目的勘察、设计、咨询、监理、劳务、施工以及与建设工程有关的设备、材料的采购应依法实行招投标或政府采购。</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应依法对工程招标项目的招标方式和招标范围进行核准。</w:t>
      </w:r>
      <w:r>
        <w:rPr>
          <w:rFonts w:hint="eastAsia" w:ascii="Times New Roman"/>
          <w:color w:val="000000" w:themeColor="text1"/>
          <w:kern w:val="0"/>
          <w14:textFill>
            <w14:solidFill>
              <w14:schemeClr w14:val="tx1"/>
            </w14:solidFill>
          </w14:textFill>
        </w:rPr>
        <w:t>镇财政分局</w:t>
      </w:r>
      <w:r>
        <w:rPr>
          <w:rFonts w:ascii="Times New Roman"/>
          <w:color w:val="000000" w:themeColor="text1"/>
          <w:kern w:val="0"/>
          <w14:textFill>
            <w14:solidFill>
              <w14:schemeClr w14:val="tx1"/>
            </w14:solidFill>
          </w14:textFill>
        </w:rPr>
        <w:t>依法对政府采购项目的政府采购方式进行核准。</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建设工程的勘察、设计、咨询、监理、劳务、施工、设备和材料的招标或采购应依法订立合同，禁止转包和违法分包。</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Times New Roman" w:eastAsia="黑体"/>
          <w:color w:val="000000" w:themeColor="text1"/>
          <w:kern w:val="0"/>
          <w14:textFill>
            <w14:solidFill>
              <w14:schemeClr w14:val="tx1"/>
            </w14:solidFill>
          </w14:textFill>
        </w:rPr>
        <w:t>第二十八条</w:t>
      </w:r>
      <w:r>
        <w:rPr>
          <w:rFonts w:hint="eastAsia" w:ascii="仿宋" w:eastAsia="仿宋"/>
          <w:color w:val="000000" w:themeColor="text1"/>
          <w:szCs w:val="32"/>
          <w14:textFill>
            <w14:solidFill>
              <w14:schemeClr w14:val="tx1"/>
            </w14:solidFill>
          </w14:textFill>
        </w:rPr>
        <w:t xml:space="preserve"> 政府投资项目的勘察、设计、咨询、监理、劳务与工程建设有关的中介服务项目发包管理程序：</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(一) 政府投资项目估算价在100万元以下或无立项核准招标的工程勘察、设计、监理、造价咨询、工程咨询、环境影响评价、节能评估、施工图审查、质量检测、测绘等中介服务项目，由建设单位通过内部会议、村民代表大会等集体决策，提出申请，经镇上级行业主管部门、分管领导审批同意后实施。</w:t>
      </w:r>
    </w:p>
    <w:p>
      <w:pPr>
        <w:ind w:firstLine="622" w:firstLineChars="200"/>
        <w:rPr>
          <w:rFonts w:ascii="仿宋" w:eastAsia="仿宋"/>
          <w:b/>
          <w:color w:val="FF0000"/>
          <w:szCs w:val="32"/>
        </w:rPr>
      </w:pPr>
      <w:r>
        <w:rPr>
          <w:rFonts w:hint="eastAsia" w:ascii="仿宋" w:eastAsia="仿宋"/>
          <w:color w:val="FF0000"/>
          <w:szCs w:val="32"/>
        </w:rPr>
        <w:t>（二）政府投资项目估算价在100万元以上且有立项核准招标的中介服务项目，严格按照审批部门的核准招标方式或采购方式进行招标或采购工作。</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Times New Roman" w:eastAsia="黑体"/>
          <w:color w:val="000000" w:themeColor="text1"/>
          <w:kern w:val="0"/>
          <w14:textFill>
            <w14:solidFill>
              <w14:schemeClr w14:val="tx1"/>
            </w14:solidFill>
          </w14:textFill>
        </w:rPr>
        <w:t>第二十九条</w:t>
      </w:r>
      <w:r>
        <w:rPr>
          <w:rFonts w:hint="eastAsia" w:ascii="仿宋" w:eastAsia="仿宋"/>
          <w:color w:val="000000" w:themeColor="text1"/>
          <w:szCs w:val="32"/>
          <w14:textFill>
            <w14:solidFill>
              <w14:schemeClr w14:val="tx1"/>
            </w14:solidFill>
          </w14:textFill>
        </w:rPr>
        <w:t xml:space="preserve"> 政府投资项目投资规模在100万元以上工程，应委托监理单位进行监理；对投资规模在100万元以下的工程，由建设单位按规定审批后从中介超市选取专业监理公司进行监理或自行管理。</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Times New Roman" w:eastAsia="黑体"/>
          <w:color w:val="000000" w:themeColor="text1"/>
          <w:kern w:val="0"/>
          <w14:textFill>
            <w14:solidFill>
              <w14:schemeClr w14:val="tx1"/>
            </w14:solidFill>
          </w14:textFill>
        </w:rPr>
        <w:t>第三十条</w:t>
      </w:r>
      <w:r>
        <w:rPr>
          <w:rFonts w:hint="eastAsia" w:ascii="仿宋" w:eastAsia="仿宋"/>
          <w:color w:val="000000" w:themeColor="text1"/>
          <w:szCs w:val="32"/>
          <w14:textFill>
            <w14:solidFill>
              <w14:schemeClr w14:val="tx1"/>
            </w14:solidFill>
          </w14:textFill>
        </w:rPr>
        <w:t xml:space="preserve"> 建设单位、勘察单位、设计单位、施工单位、监理单位依法对建设工程质量负责，严格按照《建设工程质量管理条例》《广东省建设工程质量管理条例》《建设工程安全生产管理条例》落实工程质量、安全义务。工程开工前，建设单位应告知镇城管住建和农业农村局等行业主管部门，由其对工程质量、安全等实施监督管理。为进一步完善工程验收、结算程序，建设、施工、监理单位对工程施工过程的隐蔽工程、拆除工程等关键部位应及时拍照留存，并通知镇城管住建和农业农村局等行业主管部门有关人员进行监督抽查。按要求需送检的建筑材料，应当及时送检。</w:t>
      </w:r>
    </w:p>
    <w:p>
      <w:pPr>
        <w:ind w:firstLine="622" w:firstLineChars="200"/>
        <w:contextualSpacing/>
        <w:rPr>
          <w:rFonts w:ascii="Times New Roman"/>
          <w:i/>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三十一</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政府投资项目开工前，项目建设单位应当按照有关规定办理施工许可手续</w:t>
      </w:r>
      <w:r>
        <w:rPr>
          <w:rFonts w:hint="eastAsia" w:ascii="Times New Roman"/>
          <w:color w:val="000000" w:themeColor="text1"/>
          <w:kern w:val="0"/>
          <w14:textFill>
            <w14:solidFill>
              <w14:schemeClr w14:val="tx1"/>
            </w14:solidFill>
          </w14:textFill>
        </w:rPr>
        <w:t>、环境影响评价等审批事项</w:t>
      </w:r>
      <w:r>
        <w:rPr>
          <w:rFonts w:ascii="Times New Roman"/>
          <w:color w:val="000000" w:themeColor="text1"/>
          <w:kern w:val="0"/>
          <w14:textFill>
            <w14:solidFill>
              <w14:schemeClr w14:val="tx1"/>
            </w14:solidFill>
          </w14:textFill>
        </w:rPr>
        <w:t>。</w:t>
      </w:r>
    </w:p>
    <w:p>
      <w:pPr>
        <w:widowControl/>
        <w:ind w:firstLine="622" w:firstLineChars="200"/>
        <w:jc w:val="left"/>
        <w:rPr>
          <w:rFonts w:ascii="仿宋" w:eastAsia="仿宋"/>
          <w:color w:val="000000" w:themeColor="text1"/>
          <w:szCs w:val="32"/>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三十二</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政府投资项目应当按照批准的设计进行施工，不得擅自调整建设规模、标准和内容</w:t>
      </w:r>
      <w:r>
        <w:rPr>
          <w:rFonts w:hint="eastAsia" w:ascii="Times New Roman"/>
          <w:color w:val="000000" w:themeColor="text1"/>
          <w:kern w:val="0"/>
          <w14:textFill>
            <w14:solidFill>
              <w14:schemeClr w14:val="tx1"/>
            </w14:solidFill>
          </w14:textFill>
        </w:rPr>
        <w:t>；拟变更建设地点或者拟对建设规模、建设内容等作较大变更的，应当按照规定的程序报原审批部门审批。</w:t>
      </w:r>
      <w:r>
        <w:rPr>
          <w:rFonts w:ascii="Times New Roman"/>
          <w:color w:val="000000" w:themeColor="text1"/>
          <w:kern w:val="0"/>
          <w14:textFill>
            <w14:solidFill>
              <w14:schemeClr w14:val="tx1"/>
            </w14:solidFill>
          </w14:textFill>
        </w:rPr>
        <w:t>征地拆迁费用实行专款专用，据实列支，余额不调整作其他项目使用。</w:t>
      </w:r>
      <w:r>
        <w:rPr>
          <w:rFonts w:hint="eastAsia" w:ascii="仿宋" w:eastAsia="仿宋"/>
          <w:color w:val="000000" w:themeColor="text1"/>
          <w:szCs w:val="32"/>
          <w14:textFill>
            <w14:solidFill>
              <w14:schemeClr w14:val="tx1"/>
            </w14:solidFill>
          </w14:textFill>
        </w:rPr>
        <w:t>建设过程发生工程变更，必须依照以下程序办理：</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（一）工程变更的原则：</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1.有利于提高工程质量，节省工程造价，保护环境，节约土地，有利于功能使用安全；</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2.不符合程序的工程变更，将不予审批，未经审批的工程变更不得实施；</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3.工程变更应坚持实事求是的原则，严禁弄虚作假；</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4.工程变更应遵循技术与经济相结合的原则，不得影响工程质量或缩短工程使用寿命；</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5.不得将工程变更肢解，规避审批，经过审批的工程变更一般不得再次变更；</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6.工程变更应符合合同，真实准确，资料齐全，手续齐备。</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（二）工程变更管理程序：</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1.在施工前或过程中出现工程需要变更的情况时，承包人应填写《工程变更报审表》（附件1）、《工程变更明细表》（附件3）交监理单位初审。</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2.监理单位接到《工程变更报审表》等资料后，须及时进行审核，并组织业主单位、建设单位、监理单位、承包人、勘察单位、设计单位等有关人员召开会议研究对变更内容进行确认，并形成工程变更会议纪要。</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3.设计单位根据会议纪要情况进行变更设计，并将设计修改通知单及图纸（需附有关工程量变化情况）等材料报业主单位、建设单位，并按规定交行业主管部门审核。</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4.承包人根据已审核的设计修改通知单及图纸、变更会议纪要等资料编制工程变更预算（包括增加及减少部分），并对其编制成果准确性负责，交监理单位初审，建设单位审核后报镇行业主管部门核准。</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5.监理单位根据《工程变更报审表》、设计修改通知单及图纸、工程变更预算，填写《工程变更申报表》（附件2），设计、监理单位在《工程变更申报表》批注审核意见。</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6.监理单位将上述工程变更相关资料报建设单位，建设单位按照工程变更审核权限规定办理变更审批：</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单笔增加工程费用10万元以下，且累计增加工程费用不超中标价或合同价10%的（含费用不变或减少），报镇主管部门和分管领导审批同意后实施。</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单笔增加工程费用10万元以上或累计增加工程费用超过中标价或合同价10%的，报镇党委会研究决定，审批同意后实施。</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7.《工程变更申报表》按照审批权限报批通过后，由建设单位填写《政府投资项目工程变更备案表》（附件4）报镇财政分局备案。</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8.各表格应按工程变更提出时间先后顺次编号，同一工程变更内容表格编号应对应。</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（三）工期变更管理程序</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1、工程项目严格工期管理制度，建设单位应根据工程实际情况，科学合理地设定施工工期，不得任意压缩合理工期。施工合同约定误期赔偿费的，应明确每日历天应赔额度。误期赔偿费应列入竣工结算文件中，并应在结算款中扣除。</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2、工程实施过程中，建设单位、监理单位应对施工进度计划的执行情况进行跟踪检查，发现问题后，及时采取措施加以解决。确实不能如期进行施工作业、如期完工的，应在完善相应证明材料后，及时办理工期签证手续：</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（1）因征地拆迁、青苗补偿、违法用地处置、群众利益协调等外在人为因素影响场地交付或正常施工的，应当提交权属证明、测绘图纸、影像资料、谈判纪要、补偿协议等证明材料。</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2）因三通一平（通水、通电、通路、平整场地）、基准测量数据、交通运输、临时停水停电等外部保障条件因素影响的，应当提交停水停电通知、通水通电证明、工地示意图、完善外部条件的协议等证明材料。</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（3）因管线设施迁移、地下情况复杂、周边建构筑物保护等不利地质条件影响的，应当提交勘测报告、影像资料、协调会议纪要、处置方案、洽商记录等证明材料。</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（4）因停工待图、设计变更、更换材料设备等设计和管理因素影响的，应当提交进度计划、图纸签收表、设计变更通知单、变更令、材料设备采购记录等证明材料。</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（5）因规划调整、政策性文件等政策因素暂时或永久停工的，应当提交证明文件，达到复工条件的，应当组织复工。</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6）因极端天气等自然灾害或不可抗拒等因素被迫停工的，各有关单位应当按照政府通告要求，及时做好施工现场保护工作，妥善安置施工人员，造成建（构）筑物、施工工棚、机械设备、材料等损失的，还应当进行损失预评估和统计上报，并在确保安全的前提下及时复工，修复受损建（构）筑物。灾害结束后应及时整理证明材料，按合同要求处理保险理赔、工期签证、费用补偿事宜。</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（7）因延迟付款、分期付款等经济因素影响的，应当提交进度计划、资金申请支付记录、监理日志等证明材料。</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（8）其他因素引起的工程延期，应当提交相应的证明材料。</w:t>
      </w:r>
    </w:p>
    <w:p>
      <w:pPr>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3、工期签证手续的办理流程：</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工期签证手续由建设单位完善书面说明，项目工期延期30日历天以内（不含30天）的经镇行业主管部门审核通过后签认；项目工期延期30日历天（含30天）至90日历天（不含90天）的经镇行业主管部门审核通过和镇分管领导审批同意后签认；项目工期延期90日历天以上（含90天）的经镇行业主管部门、分管领导审核通过后，报镇党委会研究决定，审批同意后确认。</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三</w:t>
      </w:r>
      <w:r>
        <w:rPr>
          <w:rFonts w:ascii="Times New Roman" w:eastAsia="黑体"/>
          <w:color w:val="000000" w:themeColor="text1"/>
          <w:kern w:val="0"/>
          <w14:textFill>
            <w14:solidFill>
              <w14:schemeClr w14:val="tx1"/>
            </w14:solidFill>
          </w14:textFill>
        </w:rPr>
        <w:t>十</w:t>
      </w:r>
      <w:r>
        <w:rPr>
          <w:rFonts w:hint="eastAsia" w:ascii="Times New Roman" w:eastAsia="黑体"/>
          <w:color w:val="000000" w:themeColor="text1"/>
          <w:kern w:val="0"/>
          <w14:textFill>
            <w14:solidFill>
              <w14:schemeClr w14:val="tx1"/>
            </w14:solidFill>
          </w14:textFill>
        </w:rPr>
        <w:t>三</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因国家政策调整、价格上涨、地质条件发生重大变化等原因，对尚未开工项目及在建项目确</w:t>
      </w:r>
      <w:r>
        <w:rPr>
          <w:rFonts w:hint="eastAsia" w:ascii="Times New Roman"/>
          <w:color w:val="000000" w:themeColor="text1"/>
          <w:kern w:val="0"/>
          <w14:textFill>
            <w14:solidFill>
              <w14:schemeClr w14:val="tx1"/>
            </w14:solidFill>
          </w14:textFill>
        </w:rPr>
        <w:t>无法优化设计、</w:t>
      </w:r>
      <w:r>
        <w:rPr>
          <w:rFonts w:ascii="Times New Roman"/>
          <w:color w:val="000000" w:themeColor="text1"/>
          <w:kern w:val="0"/>
          <w14:textFill>
            <w14:solidFill>
              <w14:schemeClr w14:val="tx1"/>
            </w14:solidFill>
          </w14:textFill>
        </w:rPr>
        <w:t>需调整概算投资的，由项目业主单位会同项目建设单位明确调整方案及资金来源，按照规定程序报原项目概算审核部门组织审核后，按以下方式办理概算调整手续：</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（一）项目预算审核阶段，因变更设计或其他原因引起项目</w:t>
      </w:r>
      <w:r>
        <w:rPr>
          <w:rFonts w:hint="eastAsia" w:ascii="Times New Roman"/>
          <w:color w:val="000000" w:themeColor="text1"/>
          <w:kern w:val="0"/>
          <w14:textFill>
            <w14:solidFill>
              <w14:schemeClr w14:val="tx1"/>
            </w14:solidFill>
          </w14:textFill>
        </w:rPr>
        <w:t>子项发生</w:t>
      </w:r>
      <w:r>
        <w:rPr>
          <w:rFonts w:ascii="Times New Roman"/>
          <w:color w:val="000000" w:themeColor="text1"/>
          <w:kern w:val="0"/>
          <w14:textFill>
            <w14:solidFill>
              <w14:schemeClr w14:val="tx1"/>
            </w14:solidFill>
          </w14:textFill>
        </w:rPr>
        <w:t>概算调整，但</w:t>
      </w:r>
      <w:r>
        <w:rPr>
          <w:rFonts w:hint="eastAsia" w:ascii="Times New Roman"/>
          <w:color w:val="000000" w:themeColor="text1"/>
          <w:kern w:val="0"/>
          <w14:textFill>
            <w14:solidFill>
              <w14:schemeClr w14:val="tx1"/>
            </w14:solidFill>
          </w14:textFill>
        </w:rPr>
        <w:t>总概算</w:t>
      </w:r>
      <w:r>
        <w:rPr>
          <w:rFonts w:ascii="Times New Roman"/>
          <w:color w:val="000000" w:themeColor="text1"/>
          <w:kern w:val="0"/>
          <w14:textFill>
            <w14:solidFill>
              <w14:schemeClr w14:val="tx1"/>
            </w14:solidFill>
          </w14:textFill>
        </w:rPr>
        <w:t>在批复概算范围内的，项目业主单位应会同项目建设单位列出复核后工程总投资各子项概算调整对比明细表，报行业主管部门审核同意并出具书面意见后，分别报</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w:t>
      </w:r>
      <w:r>
        <w:rPr>
          <w:rFonts w:hint="eastAsia" w:ascii="Times New Roman"/>
          <w:color w:val="000000" w:themeColor="text1"/>
          <w:kern w:val="0"/>
          <w14:textFill>
            <w14:solidFill>
              <w14:schemeClr w14:val="tx1"/>
            </w14:solidFill>
          </w14:textFill>
        </w:rPr>
        <w:t>镇财政分局</w:t>
      </w:r>
      <w:r>
        <w:rPr>
          <w:rFonts w:ascii="Times New Roman"/>
          <w:color w:val="000000" w:themeColor="text1"/>
          <w:kern w:val="0"/>
          <w14:textFill>
            <w14:solidFill>
              <w14:schemeClr w14:val="tx1"/>
            </w14:solidFill>
          </w14:textFill>
        </w:rPr>
        <w:t>备案。</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（二）超过项目概算投资10%以内，且</w:t>
      </w:r>
      <w:r>
        <w:rPr>
          <w:rFonts w:ascii="Times New Roman"/>
          <w:bCs/>
          <w:color w:val="000000" w:themeColor="text1"/>
          <w:kern w:val="0"/>
          <w14:textFill>
            <w14:solidFill>
              <w14:schemeClr w14:val="tx1"/>
            </w14:solidFill>
          </w14:textFill>
        </w:rPr>
        <w:t>增加金额不超过限额的（交通建设项目增加金额</w:t>
      </w:r>
      <w:r>
        <w:rPr>
          <w:rFonts w:hint="eastAsia" w:ascii="Times New Roman"/>
          <w:bCs/>
          <w:color w:val="000000" w:themeColor="text1"/>
          <w:kern w:val="0"/>
          <w14:textFill>
            <w14:solidFill>
              <w14:schemeClr w14:val="tx1"/>
            </w14:solidFill>
          </w14:textFill>
        </w:rPr>
        <w:t>在</w:t>
      </w:r>
      <w:r>
        <w:rPr>
          <w:rFonts w:ascii="Times New Roman"/>
          <w:bCs/>
          <w:color w:val="000000" w:themeColor="text1"/>
          <w:kern w:val="0"/>
          <w14:textFill>
            <w14:solidFill>
              <w14:schemeClr w14:val="tx1"/>
            </w14:solidFill>
          </w14:textFill>
        </w:rPr>
        <w:t>5000万元以内，</w:t>
      </w:r>
      <w:r>
        <w:rPr>
          <w:rFonts w:hint="eastAsia" w:ascii="Times New Roman"/>
          <w:bCs/>
          <w:color w:val="000000" w:themeColor="text1"/>
          <w:kern w:val="0"/>
          <w14:textFill>
            <w14:solidFill>
              <w14:schemeClr w14:val="tx1"/>
            </w14:solidFill>
          </w14:textFill>
        </w:rPr>
        <w:t>其他</w:t>
      </w:r>
      <w:r>
        <w:rPr>
          <w:rFonts w:ascii="Times New Roman"/>
          <w:bCs/>
          <w:color w:val="000000" w:themeColor="text1"/>
          <w:kern w:val="0"/>
          <w14:textFill>
            <w14:solidFill>
              <w14:schemeClr w14:val="tx1"/>
            </w14:solidFill>
          </w14:textFill>
        </w:rPr>
        <w:t>项目增加金额</w:t>
      </w:r>
      <w:r>
        <w:rPr>
          <w:rFonts w:hint="eastAsia" w:ascii="Times New Roman"/>
          <w:bCs/>
          <w:color w:val="000000" w:themeColor="text1"/>
          <w:kern w:val="0"/>
          <w14:textFill>
            <w14:solidFill>
              <w14:schemeClr w14:val="tx1"/>
            </w14:solidFill>
          </w14:textFill>
        </w:rPr>
        <w:t>在</w:t>
      </w:r>
      <w:r>
        <w:rPr>
          <w:rFonts w:ascii="Times New Roman"/>
          <w:bCs/>
          <w:color w:val="000000" w:themeColor="text1"/>
          <w:kern w:val="0"/>
          <w14:textFill>
            <w14:solidFill>
              <w14:schemeClr w14:val="tx1"/>
            </w14:solidFill>
          </w14:textFill>
        </w:rPr>
        <w:t>500万元以内）</w:t>
      </w:r>
      <w:r>
        <w:rPr>
          <w:rFonts w:ascii="Times New Roman"/>
          <w:color w:val="000000" w:themeColor="text1"/>
          <w:kern w:val="0"/>
          <w14:textFill>
            <w14:solidFill>
              <w14:schemeClr w14:val="tx1"/>
            </w14:solidFill>
          </w14:textFill>
        </w:rPr>
        <w:t>，由行业主管部门委托第三方中介机构审核，并征求</w:t>
      </w:r>
      <w:r>
        <w:rPr>
          <w:rFonts w:hint="eastAsia" w:ascii="Times New Roman"/>
          <w:color w:val="000000" w:themeColor="text1"/>
          <w:kern w:val="0"/>
          <w14:textFill>
            <w14:solidFill>
              <w14:schemeClr w14:val="tx1"/>
            </w14:solidFill>
          </w14:textFill>
        </w:rPr>
        <w:t>镇财政分局意见</w:t>
      </w:r>
      <w:r>
        <w:rPr>
          <w:rFonts w:ascii="Times New Roman"/>
          <w:color w:val="000000" w:themeColor="text1"/>
          <w:kern w:val="0"/>
          <w14:textFill>
            <w14:solidFill>
              <w14:schemeClr w14:val="tx1"/>
            </w14:solidFill>
          </w14:textFill>
        </w:rPr>
        <w:t>，审核通过后报</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审批。</w:t>
      </w:r>
    </w:p>
    <w:p>
      <w:pPr>
        <w:ind w:firstLine="622" w:firstLineChars="200"/>
        <w:contextualSpacing/>
        <w:rPr>
          <w:rFonts w:ascii="Times New Roman"/>
          <w:color w:val="FF0000"/>
          <w:kern w:val="0"/>
        </w:rPr>
      </w:pPr>
      <w:r>
        <w:rPr>
          <w:rFonts w:ascii="Times New Roman"/>
          <w:color w:val="FF0000"/>
          <w:kern w:val="0"/>
        </w:rPr>
        <w:t>（三）</w:t>
      </w:r>
      <w:r>
        <w:rPr>
          <w:rFonts w:hint="eastAsia" w:ascii="Times New Roman"/>
          <w:color w:val="FF0000"/>
          <w:kern w:val="0"/>
        </w:rPr>
        <w:t>凡</w:t>
      </w:r>
      <w:r>
        <w:rPr>
          <w:rFonts w:ascii="Times New Roman"/>
          <w:color w:val="FF0000"/>
          <w:kern w:val="0"/>
        </w:rPr>
        <w:t>超过项目概算投资</w:t>
      </w:r>
      <w:r>
        <w:rPr>
          <w:rFonts w:hint="eastAsia" w:ascii="Times New Roman"/>
          <w:color w:val="FF0000"/>
          <w:kern w:val="0"/>
        </w:rPr>
        <w:t>的</w:t>
      </w:r>
      <w:r>
        <w:rPr>
          <w:rFonts w:ascii="Times New Roman"/>
          <w:color w:val="FF0000"/>
          <w:kern w:val="0"/>
        </w:rPr>
        <w:t>，由行业主管部门委托第三方中介机构审核，</w:t>
      </w:r>
      <w:r>
        <w:rPr>
          <w:rFonts w:hint="eastAsia" w:ascii="Times New Roman"/>
          <w:color w:val="FF0000"/>
          <w:kern w:val="0"/>
        </w:rPr>
        <w:t>并征求市财政局意见，</w:t>
      </w:r>
      <w:r>
        <w:rPr>
          <w:rFonts w:hint="eastAsia" w:ascii="Times New Roman"/>
          <w:color w:val="FF0000"/>
          <w:kern w:val="0"/>
          <w:lang w:val="en-US" w:eastAsia="zh-CN"/>
        </w:rPr>
        <w:t>并</w:t>
      </w:r>
      <w:r>
        <w:rPr>
          <w:rFonts w:ascii="Times New Roman"/>
          <w:color w:val="FF0000"/>
          <w:kern w:val="0"/>
        </w:rPr>
        <w:t>由</w:t>
      </w:r>
      <w:r>
        <w:rPr>
          <w:rFonts w:hint="eastAsia" w:ascii="Times New Roman"/>
          <w:color w:val="FF0000"/>
          <w:kern w:val="0"/>
        </w:rPr>
        <w:t>镇经济发展和科技统计局</w:t>
      </w:r>
      <w:r>
        <w:rPr>
          <w:rFonts w:ascii="Times New Roman"/>
          <w:color w:val="FF0000"/>
          <w:kern w:val="0"/>
        </w:rPr>
        <w:t>报经</w:t>
      </w:r>
      <w:r>
        <w:rPr>
          <w:rFonts w:hint="eastAsia" w:ascii="Times New Roman"/>
          <w:color w:val="FF0000"/>
          <w:kern w:val="0"/>
        </w:rPr>
        <w:t>镇党委审议通过</w:t>
      </w:r>
      <w:r>
        <w:rPr>
          <w:rFonts w:ascii="Times New Roman"/>
          <w:color w:val="FF0000"/>
          <w:kern w:val="0"/>
        </w:rPr>
        <w:t>后，</w:t>
      </w:r>
      <w:r>
        <w:rPr>
          <w:rFonts w:hint="eastAsia" w:ascii="Times New Roman"/>
          <w:color w:val="FF0000"/>
          <w:kern w:val="0"/>
        </w:rPr>
        <w:t>再</w:t>
      </w:r>
      <w:r>
        <w:rPr>
          <w:rFonts w:hint="eastAsia" w:ascii="Times New Roman"/>
          <w:color w:val="FF0000"/>
          <w:kern w:val="0"/>
          <w:lang w:val="en-US" w:eastAsia="zh-CN"/>
        </w:rPr>
        <w:t>报</w:t>
      </w:r>
      <w:r>
        <w:rPr>
          <w:rFonts w:hint="eastAsia" w:ascii="Times New Roman"/>
          <w:color w:val="FF0000"/>
          <w:kern w:val="0"/>
        </w:rPr>
        <w:t>市发展改革局</w:t>
      </w:r>
      <w:r>
        <w:rPr>
          <w:rFonts w:ascii="Times New Roman"/>
          <w:color w:val="FF0000"/>
          <w:kern w:val="0"/>
        </w:rPr>
        <w:t>办理概算调整手续。</w:t>
      </w:r>
    </w:p>
    <w:p>
      <w:pPr>
        <w:ind w:firstLine="622" w:firstLineChars="200"/>
        <w:contextualSpacing/>
        <w:rPr>
          <w:rFonts w:ascii="Times New Roman"/>
          <w:color w:val="FF0000"/>
          <w:kern w:val="0"/>
          <w:szCs w:val="32"/>
        </w:rPr>
      </w:pPr>
      <w:r>
        <w:rPr>
          <w:rFonts w:ascii="Times New Roman" w:eastAsia="黑体"/>
          <w:color w:val="FF0000"/>
          <w:kern w:val="0"/>
        </w:rPr>
        <w:t>第三十</w:t>
      </w:r>
      <w:r>
        <w:rPr>
          <w:rFonts w:hint="eastAsia" w:ascii="Times New Roman" w:eastAsia="黑体"/>
          <w:color w:val="FF0000"/>
          <w:kern w:val="0"/>
        </w:rPr>
        <w:t>四</w:t>
      </w:r>
      <w:r>
        <w:rPr>
          <w:rFonts w:ascii="Times New Roman" w:eastAsia="黑体"/>
          <w:color w:val="FF0000"/>
          <w:kern w:val="0"/>
        </w:rPr>
        <w:t xml:space="preserve">条 </w:t>
      </w:r>
      <w:r>
        <w:rPr>
          <w:rFonts w:ascii="Times New Roman"/>
          <w:color w:val="FF0000"/>
          <w:kern w:val="0"/>
          <w:szCs w:val="32"/>
        </w:rPr>
        <w:t>因特殊情况未办理概算调整手续、但已完工的超概算项目，由项目业主单位会同项目建设单位就超概算投资情况报请</w:t>
      </w:r>
      <w:r>
        <w:rPr>
          <w:rFonts w:hint="eastAsia" w:ascii="Times New Roman"/>
          <w:color w:val="FF0000"/>
          <w:kern w:val="0"/>
        </w:rPr>
        <w:t>镇</w:t>
      </w:r>
      <w:r>
        <w:rPr>
          <w:rFonts w:hint="eastAsia" w:ascii="Times New Roman"/>
          <w:color w:val="FF0000"/>
          <w:kern w:val="0"/>
          <w:szCs w:val="32"/>
        </w:rPr>
        <w:t>党委</w:t>
      </w:r>
      <w:r>
        <w:rPr>
          <w:rFonts w:ascii="Times New Roman"/>
          <w:color w:val="FF0000"/>
          <w:kern w:val="0"/>
          <w:szCs w:val="32"/>
        </w:rPr>
        <w:t>同意，由</w:t>
      </w:r>
      <w:r>
        <w:rPr>
          <w:rFonts w:hint="eastAsia" w:ascii="Times New Roman"/>
          <w:color w:val="FF0000"/>
          <w:kern w:val="0"/>
        </w:rPr>
        <w:t>项目建设单位相应的</w:t>
      </w:r>
      <w:r>
        <w:rPr>
          <w:rFonts w:hint="eastAsia" w:ascii="Times New Roman"/>
          <w:color w:val="FF0000"/>
          <w:kern w:val="0"/>
          <w:lang w:val="en-US" w:eastAsia="zh-CN"/>
        </w:rPr>
        <w:t>行业</w:t>
      </w:r>
      <w:r>
        <w:rPr>
          <w:rFonts w:hint="eastAsia" w:ascii="Times New Roman"/>
          <w:color w:val="FF0000"/>
          <w:kern w:val="0"/>
        </w:rPr>
        <w:t>主管部门</w:t>
      </w:r>
      <w:r>
        <w:rPr>
          <w:rFonts w:ascii="Times New Roman"/>
          <w:color w:val="FF0000"/>
          <w:kern w:val="0"/>
          <w:szCs w:val="32"/>
        </w:rPr>
        <w:t>组织开展项目结算预审核工作</w:t>
      </w:r>
      <w:r>
        <w:rPr>
          <w:rFonts w:hint="eastAsia" w:ascii="Times New Roman"/>
          <w:color w:val="FF0000"/>
          <w:kern w:val="0"/>
          <w:szCs w:val="32"/>
        </w:rPr>
        <w:t>；</w:t>
      </w:r>
      <w:r>
        <w:rPr>
          <w:rFonts w:ascii="Times New Roman"/>
          <w:color w:val="FF0000"/>
          <w:kern w:val="0"/>
          <w:szCs w:val="32"/>
        </w:rPr>
        <w:t>待明确项目最终超概算规模后</w:t>
      </w:r>
      <w:r>
        <w:rPr>
          <w:rFonts w:hint="eastAsia" w:ascii="Times New Roman"/>
          <w:color w:val="FF0000"/>
          <w:kern w:val="0"/>
          <w:szCs w:val="32"/>
        </w:rPr>
        <w:t>，</w:t>
      </w:r>
      <w:r>
        <w:rPr>
          <w:rFonts w:ascii="Times New Roman"/>
          <w:color w:val="FF0000"/>
          <w:kern w:val="0"/>
          <w:szCs w:val="32"/>
        </w:rPr>
        <w:t>由项目业主单位会同项目建设单位上报</w:t>
      </w:r>
      <w:r>
        <w:rPr>
          <w:rFonts w:hint="eastAsia" w:ascii="Times New Roman"/>
          <w:color w:val="FF0000"/>
          <w:kern w:val="0"/>
        </w:rPr>
        <w:t>镇</w:t>
      </w:r>
      <w:r>
        <w:rPr>
          <w:rFonts w:hint="eastAsia" w:ascii="Times New Roman"/>
          <w:color w:val="FF0000"/>
          <w:kern w:val="0"/>
          <w:szCs w:val="32"/>
        </w:rPr>
        <w:t>政府；</w:t>
      </w:r>
      <w:r>
        <w:rPr>
          <w:rFonts w:ascii="Times New Roman"/>
          <w:color w:val="FF0000"/>
          <w:kern w:val="0"/>
          <w:szCs w:val="32"/>
        </w:rPr>
        <w:t>经</w:t>
      </w:r>
      <w:r>
        <w:rPr>
          <w:rFonts w:hint="eastAsia" w:ascii="Times New Roman"/>
          <w:color w:val="FF0000"/>
          <w:kern w:val="0"/>
          <w:szCs w:val="32"/>
        </w:rPr>
        <w:t>镇政府</w:t>
      </w:r>
      <w:r>
        <w:rPr>
          <w:rFonts w:ascii="Times New Roman"/>
          <w:color w:val="FF0000"/>
          <w:kern w:val="0"/>
          <w:szCs w:val="32"/>
        </w:rPr>
        <w:t>研究同意追加投资规模后，分别由</w:t>
      </w:r>
      <w:r>
        <w:rPr>
          <w:rFonts w:hint="eastAsia" w:ascii="Times New Roman"/>
          <w:color w:val="FF0000"/>
          <w:kern w:val="0"/>
        </w:rPr>
        <w:t>镇经济发展和科技统计局</w:t>
      </w:r>
      <w:r>
        <w:rPr>
          <w:rFonts w:hint="eastAsia" w:ascii="Times New Roman"/>
          <w:color w:val="FF0000"/>
          <w:kern w:val="0"/>
          <w:szCs w:val="32"/>
        </w:rPr>
        <w:t>办理追加投资手续</w:t>
      </w:r>
      <w:r>
        <w:rPr>
          <w:rFonts w:ascii="Times New Roman"/>
          <w:color w:val="FF0000"/>
          <w:kern w:val="0"/>
          <w:szCs w:val="32"/>
        </w:rPr>
        <w:t>，</w:t>
      </w:r>
      <w:r>
        <w:rPr>
          <w:rFonts w:hint="eastAsia" w:ascii="Times New Roman"/>
          <w:color w:val="FF0000"/>
          <w:kern w:val="0"/>
          <w:szCs w:val="32"/>
        </w:rPr>
        <w:t>财政部门审查批复政府投资项目工程竣工的财务决算</w:t>
      </w:r>
      <w:r>
        <w:rPr>
          <w:rFonts w:ascii="Times New Roman"/>
          <w:color w:val="FF0000"/>
          <w:kern w:val="0"/>
          <w:szCs w:val="32"/>
        </w:rPr>
        <w:t xml:space="preserve">。 </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第三十</w:t>
      </w:r>
      <w:r>
        <w:rPr>
          <w:rFonts w:hint="eastAsia" w:ascii="Times New Roman" w:eastAsia="黑体"/>
          <w:color w:val="000000" w:themeColor="text1"/>
          <w:kern w:val="0"/>
          <w14:textFill>
            <w14:solidFill>
              <w14:schemeClr w14:val="tx1"/>
            </w14:solidFill>
          </w14:textFill>
        </w:rPr>
        <w:t>五</w:t>
      </w:r>
      <w:r>
        <w:rPr>
          <w:rFonts w:ascii="Times New Roman" w:eastAsia="黑体"/>
          <w:color w:val="000000" w:themeColor="text1"/>
          <w:kern w:val="0"/>
          <w14:textFill>
            <w14:solidFill>
              <w14:schemeClr w14:val="tx1"/>
            </w14:solidFill>
          </w14:textFill>
        </w:rPr>
        <w:t>条　</w:t>
      </w:r>
      <w:r>
        <w:rPr>
          <w:rFonts w:ascii="Times New Roman"/>
          <w:color w:val="000000" w:themeColor="text1"/>
          <w:kern w:val="0"/>
          <w14:textFill>
            <w14:solidFill>
              <w14:schemeClr w14:val="tx1"/>
            </w14:solidFill>
          </w14:textFill>
        </w:rPr>
        <w:t>政府投资项目原则上实行无现场签证管理制度，但发生特殊情况造成工程内容变更或工程量增</w:t>
      </w:r>
      <w:r>
        <w:rPr>
          <w:rFonts w:hint="eastAsia" w:ascii="Times New Roman"/>
          <w:color w:val="000000" w:themeColor="text1"/>
          <w:kern w:val="0"/>
          <w14:textFill>
            <w14:solidFill>
              <w14:schemeClr w14:val="tx1"/>
            </w14:solidFill>
          </w14:textFill>
        </w:rPr>
        <w:t>减</w:t>
      </w:r>
      <w:r>
        <w:rPr>
          <w:rFonts w:ascii="Times New Roman"/>
          <w:color w:val="000000" w:themeColor="text1"/>
          <w:kern w:val="0"/>
          <w14:textFill>
            <w14:solidFill>
              <w14:schemeClr w14:val="tx1"/>
            </w14:solidFill>
          </w14:textFill>
        </w:rPr>
        <w:t>的，可按有关管理规定执行现场签证。现场签证必须由施工单位提出并提供相关资料，在现场签证时由业主单位、项目建设单位、设计单位和监理单位共同确认。事后补签无效。</w:t>
      </w:r>
    </w:p>
    <w:p>
      <w:pPr>
        <w:widowControl/>
        <w:ind w:firstLine="48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（一）工程变更如有增加投资的，全部或分项、分段施工完成后15工作日内、隐蔽工程覆盖前，承包人应以书面形式向监理单位提出签证要求，逾期不提出签证要求的，镇主管部门不予签证。</w:t>
      </w:r>
    </w:p>
    <w:p>
      <w:pPr>
        <w:widowControl/>
        <w:ind w:firstLine="48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（二）工程变更如有减少投资的，监理单位应督促承包单位在工程变更完成后15工作日内办理签证，超过时限将记录其不良诚信并上报镇行业主管部门备案。</w:t>
      </w:r>
    </w:p>
    <w:p>
      <w:pPr>
        <w:widowControl/>
        <w:ind w:firstLine="48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（三）承包人提出签证要求时应提交施工记录（含现场影像、图片等资料）、测量资料、工程量计算图式、计算过程等有关资料。</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（四）监理单位、设计单位、建设单位在《工程变更签证单》批注审核意见，镇行业主管部门根据实际情况进行抽查核实。</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 xml:space="preserve">（五）工程变更通过签证确认实际增减工程量，作为工程结算的依据，未通过签证确认的变更增加工程量，不予结算。 </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（六）建筑物、构筑物拆除、土石方开挖、回填材料回填前，应由监理单位、建设单位共同测量（根据实际情况有需要可委托有资质测量单位进行第三方测量）、核实工程量，否则不予确认。</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（七）土石方、建筑垃圾及半成品构件等运费单列的工程量，应在确认数量的同时确认运距。</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（八）以下情况不予签证：</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1.缺乏合同依据、无变更手续的工程量；</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2.超过批准变更范围的工程量；</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3.已覆盖、未经核实的隐蔽工程量；</w:t>
      </w:r>
    </w:p>
    <w:p>
      <w:pPr>
        <w:widowControl/>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4.因承包人原因造成施工质量不合格的工程量；</w:t>
      </w:r>
    </w:p>
    <w:p>
      <w:pPr>
        <w:pStyle w:val="3"/>
        <w:ind w:firstLine="622" w:firstLineChars="200"/>
        <w:rPr>
          <w:color w:val="000000" w:themeColor="text1"/>
          <w14:textFill>
            <w14:solidFill>
              <w14:schemeClr w14:val="tx1"/>
            </w14:solidFill>
          </w14:textFill>
        </w:rPr>
      </w:pPr>
      <w:r>
        <w:rPr>
          <w:rFonts w:hint="eastAsia" w:ascii="仿宋" w:eastAsia="仿宋"/>
          <w:color w:val="000000" w:themeColor="text1"/>
          <w:szCs w:val="32"/>
          <w14:textFill>
            <w14:solidFill>
              <w14:schemeClr w14:val="tx1"/>
            </w14:solidFill>
          </w14:textFill>
        </w:rPr>
        <w:t>5.逾期不提出签证要求的增加工程量。</w:t>
      </w:r>
      <w:r>
        <w:rPr>
          <w:rFonts w:hint="eastAsia" w:ascii="仿宋" w:eastAsia="仿宋"/>
          <w:color w:val="000000" w:themeColor="text1"/>
          <w:szCs w:val="32"/>
          <w14:textFill>
            <w14:solidFill>
              <w14:schemeClr w14:val="tx1"/>
            </w14:solidFill>
          </w14:textFill>
        </w:rPr>
        <w:br w:type="textWrapping"/>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第三十</w:t>
      </w:r>
      <w:r>
        <w:rPr>
          <w:rFonts w:hint="eastAsia" w:ascii="Times New Roman" w:eastAsia="黑体"/>
          <w:color w:val="000000" w:themeColor="text1"/>
          <w:kern w:val="0"/>
          <w14:textFill>
            <w14:solidFill>
              <w14:schemeClr w14:val="tx1"/>
            </w14:solidFill>
          </w14:textFill>
        </w:rPr>
        <w:t>六</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 xml:space="preserve"> </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财政</w:t>
      </w:r>
      <w:r>
        <w:rPr>
          <w:rFonts w:hint="eastAsia" w:ascii="Times New Roman"/>
          <w:color w:val="000000" w:themeColor="text1"/>
          <w:kern w:val="0"/>
          <w14:textFill>
            <w14:solidFill>
              <w14:schemeClr w14:val="tx1"/>
            </w14:solidFill>
          </w14:textFill>
        </w:rPr>
        <w:t>分</w:t>
      </w:r>
      <w:r>
        <w:rPr>
          <w:rFonts w:ascii="Times New Roman"/>
          <w:color w:val="000000" w:themeColor="text1"/>
          <w:kern w:val="0"/>
          <w14:textFill>
            <w14:solidFill>
              <w14:schemeClr w14:val="tx1"/>
            </w14:solidFill>
          </w14:textFill>
        </w:rPr>
        <w:t>局应根据政府投资年度计划</w:t>
      </w:r>
      <w:r>
        <w:rPr>
          <w:rFonts w:hint="eastAsia" w:ascii="Times New Roman"/>
          <w:color w:val="000000" w:themeColor="text1"/>
          <w:kern w:val="0"/>
          <w14:textFill>
            <w14:solidFill>
              <w14:schemeClr w14:val="tx1"/>
            </w14:solidFill>
          </w14:textFill>
        </w:rPr>
        <w:t>、工程建设进度、建设单位请款申请和相关审批意见拨付建设资金</w:t>
      </w:r>
      <w:r>
        <w:rPr>
          <w:rFonts w:ascii="Times New Roman"/>
          <w:color w:val="000000" w:themeColor="text1"/>
          <w:kern w:val="0"/>
          <w14:textFill>
            <w14:solidFill>
              <w14:schemeClr w14:val="tx1"/>
            </w14:solidFill>
          </w14:textFill>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第三十</w:t>
      </w:r>
      <w:r>
        <w:rPr>
          <w:rFonts w:hint="eastAsia" w:ascii="Times New Roman" w:eastAsia="黑体"/>
          <w:color w:val="000000" w:themeColor="text1"/>
          <w:kern w:val="0"/>
          <w14:textFill>
            <w14:solidFill>
              <w14:schemeClr w14:val="tx1"/>
            </w14:solidFill>
          </w14:textFill>
        </w:rPr>
        <w:t>七</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项目建设单位应做好政府投资项目的财务管理，按规定设置独立的财务管理机构或指定专人负责项目财务工作，建立健全财务管理制度，接受相关行业主管部门的指导和监督。</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第三十</w:t>
      </w:r>
      <w:r>
        <w:rPr>
          <w:rFonts w:hint="eastAsia" w:ascii="Times New Roman" w:eastAsia="黑体"/>
          <w:color w:val="000000" w:themeColor="text1"/>
          <w:kern w:val="0"/>
          <w14:textFill>
            <w14:solidFill>
              <w14:schemeClr w14:val="tx1"/>
            </w14:solidFill>
          </w14:textFill>
        </w:rPr>
        <w:t>八</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项目建设单位应在政府投资项目建成后开展</w:t>
      </w:r>
      <w:r>
        <w:rPr>
          <w:rFonts w:hint="eastAsia" w:ascii="Times New Roman"/>
          <w:color w:val="000000" w:themeColor="text1"/>
          <w:kern w:val="0"/>
          <w14:textFill>
            <w14:solidFill>
              <w14:schemeClr w14:val="tx1"/>
            </w14:solidFill>
          </w14:textFill>
        </w:rPr>
        <w:t>（交）竣工验收</w:t>
      </w:r>
      <w:r>
        <w:rPr>
          <w:rFonts w:ascii="Times New Roman"/>
          <w:color w:val="000000" w:themeColor="text1"/>
          <w:kern w:val="0"/>
          <w14:textFill>
            <w14:solidFill>
              <w14:schemeClr w14:val="tx1"/>
            </w14:solidFill>
          </w14:textFill>
        </w:rPr>
        <w:t>、工程结算和竣工决算工作。建设周期长、建设内容多的项目，单项工程竣工后具备交付使用条件的，可编制单项工程竣工财务决算，建设项目全部竣工总结算后三个月内完成项目竣工总决算编制工作。</w:t>
      </w:r>
    </w:p>
    <w:p>
      <w:pPr>
        <w:ind w:firstLine="622" w:firstLineChars="200"/>
        <w:contextualSpacing/>
        <w:rPr>
          <w:rFonts w:ascii="Times New Roman"/>
          <w:iCs/>
          <w:color w:val="FF0000"/>
          <w:kern w:val="0"/>
        </w:rPr>
      </w:pPr>
      <w:r>
        <w:rPr>
          <w:rFonts w:ascii="Times New Roman" w:eastAsia="黑体"/>
          <w:color w:val="FF0000"/>
          <w:kern w:val="0"/>
        </w:rPr>
        <w:t>第三十</w:t>
      </w:r>
      <w:r>
        <w:rPr>
          <w:rFonts w:hint="eastAsia" w:ascii="Times New Roman" w:eastAsia="黑体"/>
          <w:color w:val="FF0000"/>
          <w:kern w:val="0"/>
        </w:rPr>
        <w:t>九</w:t>
      </w:r>
      <w:r>
        <w:rPr>
          <w:rFonts w:ascii="Times New Roman" w:eastAsia="黑体"/>
          <w:color w:val="FF0000"/>
          <w:kern w:val="0"/>
        </w:rPr>
        <w:t xml:space="preserve">条  </w:t>
      </w:r>
      <w:bookmarkStart w:id="2" w:name="_Hlk43684314"/>
      <w:r>
        <w:rPr>
          <w:rFonts w:ascii="Times New Roman"/>
          <w:color w:val="FF0000"/>
          <w:kern w:val="0"/>
        </w:rPr>
        <w:t>项目建设单位必须在单项工程</w:t>
      </w:r>
      <w:r>
        <w:rPr>
          <w:rFonts w:hint="eastAsia" w:ascii="Times New Roman"/>
          <w:color w:val="FF0000"/>
          <w:kern w:val="0"/>
        </w:rPr>
        <w:t>（交）竣工验收</w:t>
      </w:r>
      <w:r>
        <w:rPr>
          <w:rFonts w:ascii="Times New Roman"/>
          <w:color w:val="FF0000"/>
          <w:kern w:val="0"/>
        </w:rPr>
        <w:t>合格后三个月内报送结算审核</w:t>
      </w:r>
      <w:r>
        <w:rPr>
          <w:rFonts w:hint="eastAsia" w:ascii="Times New Roman"/>
          <w:color w:val="FF0000"/>
          <w:kern w:val="0"/>
        </w:rPr>
        <w:t>（水利工程应当在竣工验收之前完成结算审核）</w:t>
      </w:r>
      <w:r>
        <w:rPr>
          <w:rFonts w:ascii="Times New Roman"/>
          <w:color w:val="FF0000"/>
          <w:kern w:val="0"/>
        </w:rPr>
        <w:t>。项目建设单位对送审资料的真实性、完整性和有效性负责。</w:t>
      </w:r>
      <w:r>
        <w:rPr>
          <w:rFonts w:hint="eastAsia" w:ascii="Times New Roman"/>
          <w:color w:val="FF0000"/>
          <w:kern w:val="0"/>
        </w:rPr>
        <w:t>项目建设单位相应主管部门</w:t>
      </w:r>
      <w:r>
        <w:rPr>
          <w:rFonts w:ascii="Times New Roman"/>
          <w:color w:val="FF0000"/>
          <w:kern w:val="0"/>
        </w:rPr>
        <w:t>应在收齐项目建设单位提交的文件、材料后委托有相应资质的第三方中介机构</w:t>
      </w:r>
      <w:r>
        <w:rPr>
          <w:rFonts w:hint="eastAsia" w:ascii="Times New Roman"/>
          <w:color w:val="FF0000"/>
          <w:kern w:val="0"/>
        </w:rPr>
        <w:t>进行审核，并在</w:t>
      </w:r>
      <w:r>
        <w:rPr>
          <w:rFonts w:ascii="Times New Roman"/>
          <w:color w:val="FF0000"/>
          <w:kern w:val="0"/>
        </w:rPr>
        <w:t>60个工作日内出具审核意见（特大型项目除外）。</w:t>
      </w:r>
      <w:bookmarkEnd w:id="2"/>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四十</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w:t>
      </w:r>
      <w:r>
        <w:rPr>
          <w:rFonts w:hint="eastAsia" w:ascii="Times New Roman"/>
          <w:color w:val="000000" w:themeColor="text1"/>
          <w:kern w:val="0"/>
          <w14:textFill>
            <w14:solidFill>
              <w14:schemeClr w14:val="tx1"/>
            </w14:solidFill>
          </w14:textFill>
        </w:rPr>
        <w:t>使用单位（管养单位）应当于项目（交）竣工验收合格后30个工作日内接收和管养，并在竣工决算审核完毕后30日内及时办理物业权属登记。</w:t>
      </w:r>
      <w:r>
        <w:rPr>
          <w:rFonts w:ascii="Times New Roman"/>
          <w:color w:val="000000" w:themeColor="text1"/>
          <w:kern w:val="0"/>
          <w14:textFill>
            <w14:solidFill>
              <w14:schemeClr w14:val="tx1"/>
            </w14:solidFill>
          </w14:textFill>
        </w:rPr>
        <w:t>国有产权持有单位必须按照国家有关规定办理国有产权登记，明确国有产权归属。</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四十一</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政府投资项目在建成运行后，</w:t>
      </w:r>
      <w:r>
        <w:rPr>
          <w:rFonts w:hint="eastAsia" w:ascii="Times New Roman"/>
          <w:color w:val="000000" w:themeColor="text1"/>
          <w:kern w:val="0"/>
          <w14:textFill>
            <w14:solidFill>
              <w14:schemeClr w14:val="tx1"/>
            </w14:solidFill>
          </w14:textFill>
        </w:rPr>
        <w:t>镇经济发展和科技统计局</w:t>
      </w:r>
      <w:r>
        <w:rPr>
          <w:rFonts w:ascii="Times New Roman"/>
          <w:color w:val="000000" w:themeColor="text1"/>
          <w:kern w:val="0"/>
          <w14:textFill>
            <w14:solidFill>
              <w14:schemeClr w14:val="tx1"/>
            </w14:solidFill>
          </w14:textFill>
        </w:rPr>
        <w:t>可组织有关部门、专家和机构，对项目质量、投资效益、环境影响等进行后评价。</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四十二</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投资主管部门、行业主管部门、财政部门、审计部门和其他有关部门依据本办法和其他法律法规，在各自职责范围内，对政府投资进行监督检查。</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（一）政府投资项目计划的执行情况依法接受</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人民代表大会监督。</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 xml:space="preserve">人民代表大会就政府投资项目中的重大事项组织调查，有关部门、单位和个人应当如实反映情况和提供必要的资料。 </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（二）</w:t>
      </w:r>
      <w:r>
        <w:rPr>
          <w:rFonts w:hint="eastAsia" w:ascii="Times New Roman"/>
          <w:color w:val="000000" w:themeColor="text1"/>
          <w:kern w:val="0"/>
          <w14:textFill>
            <w14:solidFill>
              <w14:schemeClr w14:val="tx1"/>
            </w14:solidFill>
          </w14:textFill>
        </w:rPr>
        <w:t>镇政府</w:t>
      </w:r>
      <w:r>
        <w:rPr>
          <w:rFonts w:ascii="Times New Roman"/>
          <w:color w:val="000000" w:themeColor="text1"/>
          <w:kern w:val="0"/>
          <w14:textFill>
            <w14:solidFill>
              <w14:schemeClr w14:val="tx1"/>
            </w14:solidFill>
          </w14:textFill>
        </w:rPr>
        <w:t>应当在每一计划年度内向</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人民代表大会报告政府投资项目计划的执行情况。</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FF0000"/>
          <w:kern w:val="0"/>
        </w:rPr>
        <w:t>（三）</w:t>
      </w:r>
      <w:r>
        <w:rPr>
          <w:rFonts w:hint="eastAsia" w:ascii="Times New Roman"/>
          <w:color w:val="FF0000"/>
          <w:kern w:val="0"/>
        </w:rPr>
        <w:t>镇经济发展和科技统计局</w:t>
      </w:r>
      <w:r>
        <w:rPr>
          <w:rFonts w:ascii="Times New Roman"/>
          <w:color w:val="FF0000"/>
          <w:kern w:val="0"/>
        </w:rPr>
        <w:t>负责监督检查政府投资项目计划的执行，并向</w:t>
      </w:r>
      <w:r>
        <w:rPr>
          <w:rFonts w:hint="eastAsia" w:ascii="Times New Roman"/>
          <w:color w:val="FF0000"/>
          <w:kern w:val="0"/>
        </w:rPr>
        <w:t>镇政府</w:t>
      </w:r>
      <w:r>
        <w:rPr>
          <w:rFonts w:ascii="Times New Roman"/>
          <w:color w:val="FF0000"/>
          <w:kern w:val="0"/>
        </w:rPr>
        <w:t>报告计划执行情况</w:t>
      </w:r>
      <w:r>
        <w:rPr>
          <w:rFonts w:ascii="Times New Roman"/>
          <w:color w:val="000000" w:themeColor="text1"/>
          <w:kern w:val="0"/>
          <w14:textFill>
            <w14:solidFill>
              <w14:schemeClr w14:val="tx1"/>
            </w14:solidFill>
          </w14:textFill>
        </w:rPr>
        <w:t>。</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（四）</w:t>
      </w:r>
      <w:r>
        <w:rPr>
          <w:rFonts w:hint="eastAsia" w:ascii="Times New Roman"/>
          <w:color w:val="000000" w:themeColor="text1"/>
          <w:kern w:val="0"/>
          <w14:textFill>
            <w14:solidFill>
              <w14:schemeClr w14:val="tx1"/>
            </w14:solidFill>
          </w14:textFill>
        </w:rPr>
        <w:t>镇审计办</w:t>
      </w:r>
      <w:r>
        <w:rPr>
          <w:rFonts w:ascii="Times New Roman"/>
          <w:color w:val="000000" w:themeColor="text1"/>
          <w:kern w:val="0"/>
          <w14:textFill>
            <w14:solidFill>
              <w14:schemeClr w14:val="tx1"/>
            </w14:solidFill>
          </w14:textFill>
        </w:rPr>
        <w:t>依法对政府投资项目预算的执行情况和决算进行审计监督。</w:t>
      </w:r>
    </w:p>
    <w:p>
      <w:pPr>
        <w:ind w:firstLine="622" w:firstLineChars="200"/>
        <w:contextualSpacing/>
        <w:rPr>
          <w:rFonts w:ascii="Times New Roman"/>
          <w:color w:val="000000" w:themeColor="text1"/>
          <w:kern w:val="0"/>
          <w14:textFill>
            <w14:solidFill>
              <w14:schemeClr w14:val="tx1"/>
            </w14:solidFill>
          </w14:textFill>
        </w:rPr>
      </w:pPr>
      <w:r>
        <w:rPr>
          <w:rFonts w:ascii="Times New Roman"/>
          <w:color w:val="000000" w:themeColor="text1"/>
          <w:kern w:val="0"/>
          <w14:textFill>
            <w14:solidFill>
              <w14:schemeClr w14:val="tx1"/>
            </w14:solidFill>
          </w14:textFill>
        </w:rPr>
        <w:t>（五）项目法人或者项目建设、勘察、设计、施工、监理等单位的名称和责任人姓名应当在政府投资项目的施工现场和建成后的建筑物或者构筑物的显著位置公示。</w:t>
      </w:r>
      <w:r>
        <w:rPr>
          <w:rFonts w:hint="eastAsia" w:ascii="Times New Roman"/>
          <w:color w:val="000000" w:themeColor="text1"/>
          <w:kern w:val="0"/>
          <w14:textFill>
            <w14:solidFill>
              <w14:schemeClr w14:val="tx1"/>
            </w14:solidFill>
          </w14:textFill>
        </w:rPr>
        <w:t>镇</w:t>
      </w:r>
      <w:r>
        <w:rPr>
          <w:rFonts w:ascii="Times New Roman"/>
          <w:color w:val="000000" w:themeColor="text1"/>
          <w:kern w:val="0"/>
          <w14:textFill>
            <w14:solidFill>
              <w14:schemeClr w14:val="tx1"/>
            </w14:solidFill>
          </w14:textFill>
        </w:rPr>
        <w:t>政府有关部门应当设置并公布举报电话，接受社会监督。</w:t>
      </w:r>
    </w:p>
    <w:p>
      <w:pPr>
        <w:widowControl/>
        <w:ind w:firstLine="622" w:firstLineChars="200"/>
        <w:jc w:val="left"/>
        <w:rPr>
          <w:rFonts w:ascii="仿宋" w:eastAsia="仿宋"/>
          <w:color w:val="000000" w:themeColor="text1"/>
          <w:szCs w:val="32"/>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四</w:t>
      </w:r>
      <w:r>
        <w:rPr>
          <w:rFonts w:ascii="Times New Roman" w:eastAsia="黑体"/>
          <w:color w:val="000000" w:themeColor="text1"/>
          <w:kern w:val="0"/>
          <w14:textFill>
            <w14:solidFill>
              <w14:schemeClr w14:val="tx1"/>
            </w14:solidFill>
          </w14:textFill>
        </w:rPr>
        <w:t>十</w:t>
      </w:r>
      <w:r>
        <w:rPr>
          <w:rFonts w:hint="eastAsia" w:ascii="Times New Roman" w:eastAsia="黑体"/>
          <w:color w:val="000000" w:themeColor="text1"/>
          <w:kern w:val="0"/>
          <w14:textFill>
            <w14:solidFill>
              <w14:schemeClr w14:val="tx1"/>
            </w14:solidFill>
          </w14:textFill>
        </w:rPr>
        <w:t>三</w:t>
      </w:r>
      <w:r>
        <w:rPr>
          <w:rFonts w:ascii="Times New Roman" w:eastAsia="黑体"/>
          <w:color w:val="000000" w:themeColor="text1"/>
          <w:kern w:val="0"/>
          <w14:textFill>
            <w14:solidFill>
              <w14:schemeClr w14:val="tx1"/>
            </w14:solidFill>
          </w14:textFill>
        </w:rPr>
        <w:t>条</w:t>
      </w:r>
      <w:r>
        <w:rPr>
          <w:rFonts w:hint="eastAsia" w:ascii="仿宋" w:eastAsia="仿宋"/>
          <w:color w:val="000000" w:themeColor="text1"/>
          <w:szCs w:val="32"/>
          <w14:textFill>
            <w14:solidFill>
              <w14:schemeClr w14:val="tx1"/>
            </w14:solidFill>
          </w14:textFill>
        </w:rPr>
        <w:t>政府投资项目由项目建设单位按照基本建设程序及有关规定，并根据项目投资规模实行分类实施：</w:t>
      </w:r>
    </w:p>
    <w:p>
      <w:pPr>
        <w:widowControl/>
        <w:spacing w:line="560" w:lineRule="exact"/>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（一）投资规模在10万元以下（不含10万元）的建设工程项目，经审批同意实施后，由建设单位完善施工方案、询价等资料，实施自行委托施工单位。</w:t>
      </w:r>
    </w:p>
    <w:p>
      <w:pPr>
        <w:widowControl/>
        <w:spacing w:line="560" w:lineRule="exact"/>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二）投资规模在10万元以上（含10万元）至30万元（不含30万元）以下的建设工程项目，经审批同意实施后，由建设单位完善施工图设计或施工方案、通过广东省网上中介超市选取具有相应资质的造价咨询单位编制工程预算等资料</w:t>
      </w:r>
      <w:r>
        <w:rPr>
          <w:rFonts w:hint="eastAsia"/>
          <w:color w:val="000000" w:themeColor="text1"/>
          <w:szCs w:val="32"/>
          <w14:textFill>
            <w14:solidFill>
              <w14:schemeClr w14:val="tx1"/>
            </w14:solidFill>
          </w14:textFill>
        </w:rPr>
        <w:t>，</w:t>
      </w:r>
      <w:r>
        <w:rPr>
          <w:rFonts w:hint="eastAsia" w:ascii="仿宋" w:eastAsia="仿宋"/>
          <w:color w:val="000000" w:themeColor="text1"/>
          <w:szCs w:val="32"/>
          <w14:textFill>
            <w14:solidFill>
              <w14:schemeClr w14:val="tx1"/>
            </w14:solidFill>
          </w14:textFill>
        </w:rPr>
        <w:t>自行办理发包手续。</w:t>
      </w:r>
    </w:p>
    <w:p>
      <w:pPr>
        <w:widowControl/>
        <w:spacing w:line="560" w:lineRule="exact"/>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三）投资规模在30万元（含30万元）以上至100万元（不含100万元）以下的建设工程项目，经审批同意实施后，建设单位应通过广东省网上中介超市选取具有相应资质的设计单位、咨询机构进行施工图设计、工程预算编制等工作，完善相关资料后，委托招标代理机构进行电子化招标或者进行三家以上询价（以价低者为中标单位）。</w:t>
      </w:r>
    </w:p>
    <w:p>
      <w:pPr>
        <w:widowControl/>
        <w:spacing w:line="560" w:lineRule="exact"/>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四）投资规模在100万元以上（含100万元）至400万元以下（不含400万元）的建设工程项目，经审批同意实施后，建设单位应委托具有相应资质的设计单位、咨询机构进行可行性研究报告、初步设计、施工图设计、工程概（预）算编制等工作，完善相关资料后，需先办理立项手续，然后根据立项意见，委托招标或采购代理机构进行招标或政府采购。</w:t>
      </w:r>
    </w:p>
    <w:p>
      <w:pPr>
        <w:widowControl/>
        <w:spacing w:line="560" w:lineRule="exact"/>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五）投资规模在400万元以上（含400万元）的建设工程项目，经审批同意实施后，建设单位应委托具有相应资质的设计单位、咨询机构进行可行性研究报告、初步设计、施工图设计、工程概（预）算编制等工作，完善相关资料后，要严格按照《广东省实施〈中华人民共和国招标投标法〉办法》等相关政策，委托招标代理机构，进行建设工程招标。</w:t>
      </w:r>
    </w:p>
    <w:p>
      <w:pPr>
        <w:widowControl/>
        <w:spacing w:line="560" w:lineRule="exact"/>
        <w:ind w:firstLine="622" w:firstLineChars="2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（六）重要设备、材料、附属设施工程根据单项合同估算价，参照同档次金额的条款依法实行招投标或政府采购。</w:t>
      </w:r>
    </w:p>
    <w:p>
      <w:pPr>
        <w:spacing w:line="560" w:lineRule="exact"/>
        <w:ind w:firstLine="622" w:firstLineChars="200"/>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政府投资项目发包要严格按《关于进一步加强中山市工程建设项目招标投标管理的通知》（中建通【2016】117号）、《关于进一步加强和完善大涌镇建设工程招标投标管理的实施办法》（涌府办【2019】117号）、《中山市2020年集中采购机构项目实施方案》（中财采购【2020】2号）和《关于印发&lt;大涌镇2019年政府采购实施方案&gt;的通知》（涌府办【2019】99号）等文件执行。</w:t>
      </w:r>
    </w:p>
    <w:p>
      <w:pPr>
        <w:ind w:firstLine="622" w:firstLineChars="200"/>
        <w:contextualSpacing/>
        <w:rPr>
          <w:color w:val="000000" w:themeColor="text1"/>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四十四</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除法律法规另有规定外，项目建设单位应在项目建成后12个月内完成</w:t>
      </w:r>
      <w:r>
        <w:rPr>
          <w:rFonts w:hint="eastAsia" w:ascii="Times New Roman"/>
          <w:color w:val="000000" w:themeColor="text1"/>
          <w:kern w:val="0"/>
          <w14:textFill>
            <w14:solidFill>
              <w14:schemeClr w14:val="tx1"/>
            </w14:solidFill>
          </w14:textFill>
        </w:rPr>
        <w:t>（交）竣工验收</w:t>
      </w:r>
      <w:r>
        <w:rPr>
          <w:rFonts w:ascii="Times New Roman"/>
          <w:color w:val="000000" w:themeColor="text1"/>
          <w:kern w:val="0"/>
          <w14:textFill>
            <w14:solidFill>
              <w14:schemeClr w14:val="tx1"/>
            </w14:solidFill>
          </w14:textFill>
        </w:rPr>
        <w:t>、规划验收、竣工验收备案登记、工程结算和竣工决算工作，并按照国家有关工程档案管理规定</w:t>
      </w:r>
      <w:r>
        <w:rPr>
          <w:rFonts w:hint="eastAsia" w:ascii="Times New Roman"/>
          <w:color w:val="000000" w:themeColor="text1"/>
          <w:kern w:val="0"/>
          <w14:textFill>
            <w14:solidFill>
              <w14:schemeClr w14:val="tx1"/>
            </w14:solidFill>
          </w14:textFill>
        </w:rPr>
        <w:t>移交</w:t>
      </w:r>
      <w:r>
        <w:rPr>
          <w:rFonts w:ascii="Times New Roman"/>
          <w:color w:val="000000" w:themeColor="text1"/>
          <w:kern w:val="0"/>
          <w14:textFill>
            <w14:solidFill>
              <w14:schemeClr w14:val="tx1"/>
            </w14:solidFill>
          </w14:textFill>
        </w:rPr>
        <w:t>工程档案。政府投资项目工程经</w:t>
      </w:r>
      <w:r>
        <w:rPr>
          <w:rFonts w:hint="eastAsia" w:ascii="Times New Roman"/>
          <w:color w:val="000000" w:themeColor="text1"/>
          <w:kern w:val="0"/>
          <w14:textFill>
            <w14:solidFill>
              <w14:schemeClr w14:val="tx1"/>
            </w14:solidFill>
          </w14:textFill>
        </w:rPr>
        <w:t>（交）</w:t>
      </w:r>
      <w:r>
        <w:rPr>
          <w:rFonts w:ascii="Times New Roman"/>
          <w:color w:val="000000" w:themeColor="text1"/>
          <w:kern w:val="0"/>
          <w14:textFill>
            <w14:solidFill>
              <w14:schemeClr w14:val="tx1"/>
            </w14:solidFill>
          </w14:textFill>
        </w:rPr>
        <w:t>竣工验收合格后，方可交付使用。</w:t>
      </w:r>
    </w:p>
    <w:p>
      <w:pPr>
        <w:ind w:firstLine="622" w:firstLineChars="200"/>
        <w:contextualSpacing/>
        <w:rPr>
          <w:rFonts w:ascii="Times New Roman"/>
          <w:color w:val="000000" w:themeColor="text1"/>
          <w:kern w:val="0"/>
          <w14:textFill>
            <w14:solidFill>
              <w14:schemeClr w14:val="tx1"/>
            </w14:solidFill>
          </w14:textFill>
        </w:rPr>
      </w:pPr>
    </w:p>
    <w:p>
      <w:pPr>
        <w:contextualSpacing/>
        <w:jc w:val="center"/>
        <w:rPr>
          <w:rFonts w:ascii="Times New Roman" w:eastAsia="黑体"/>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第五章　法律责任</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eastAsia="黑体" w:cs="黑体"/>
          <w:color w:val="000000" w:themeColor="text1"/>
          <w:kern w:val="0"/>
          <w14:textFill>
            <w14:solidFill>
              <w14:schemeClr w14:val="tx1"/>
            </w14:solidFill>
          </w14:textFill>
        </w:rPr>
        <w:t>第四十五条</w:t>
      </w:r>
      <w:r>
        <w:rPr>
          <w:rFonts w:hint="eastAsia" w:ascii="Times New Roman"/>
          <w:color w:val="000000" w:themeColor="text1"/>
          <w:kern w:val="0"/>
          <w14:textFill>
            <w14:solidFill>
              <w14:schemeClr w14:val="tx1"/>
            </w14:solidFill>
          </w14:textFill>
        </w:rPr>
        <w:t>　有下列情形之一的，责令改正，对负有责任的领导人员和直接责任人员依法给予处分：</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（一）超越审批权限审批政府投资项目；</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（二）对不符合规定的政府投资项目予以批准；</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（三）未按照规定核定或者调整政府投资项目的投资概算；</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（四）为不符合规定的项目安排投资补助、贷款贴息等政府投资资金；</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（五）履行政府投资管理职责中其他玩忽职守、滥用职权、徇私舞弊的情形。</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eastAsia="黑体" w:cs="黑体"/>
          <w:color w:val="000000" w:themeColor="text1"/>
          <w:kern w:val="0"/>
          <w14:textFill>
            <w14:solidFill>
              <w14:schemeClr w14:val="tx1"/>
            </w14:solidFill>
          </w14:textFill>
        </w:rPr>
        <w:t>第四十六条</w:t>
      </w:r>
      <w:r>
        <w:rPr>
          <w:rFonts w:hint="eastAsia" w:ascii="Times New Roman"/>
          <w:color w:val="000000" w:themeColor="text1"/>
          <w:kern w:val="0"/>
          <w14:textFill>
            <w14:solidFill>
              <w14:schemeClr w14:val="tx1"/>
            </w14:solidFill>
          </w14:textFill>
        </w:rPr>
        <w:t>　有下列情形之一的，依照有关预算的法律、行政法规和国家有关规定追究法律责任：</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（一）政府及其有关部门违法违规举借债务筹措政府投资资金；</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（二）未按照规定及时、足额办理政府投资资金拨付；</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（三）转移、侵占、挪用政府投资资金。</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eastAsia="黑体" w:cs="黑体"/>
          <w:color w:val="000000" w:themeColor="text1"/>
          <w:kern w:val="0"/>
          <w14:textFill>
            <w14:solidFill>
              <w14:schemeClr w14:val="tx1"/>
            </w14:solidFill>
          </w14:textFill>
        </w:rPr>
        <w:t>第四十七条</w:t>
      </w:r>
      <w:r>
        <w:rPr>
          <w:rFonts w:hint="eastAsia" w:ascii="Times New Roman"/>
          <w:color w:val="000000" w:themeColor="text1"/>
          <w:kern w:val="0"/>
          <w14:textFill>
            <w14:solidFill>
              <w14:schemeClr w14:val="tx1"/>
            </w14:solidFill>
          </w14:textFill>
        </w:rPr>
        <w:t>　项目单位有下列情形之一的，责令改正，根据具体情况，暂停、停止拨付资金或者收回已拨付的资金，暂停或者停止建设活动，对负有责任的领导人员和直接责任人员依法给予处分：</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（一）未经批准或者不符合规定的建设条件开工建设政府投资项目；</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（二）弄虚作假骗取政府投资项目审批或者投资补助、贷款贴息等政府投资资金；</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（三）未经批准变更政府投资项目的建设地点或者对建设规模、建设内容等作较大变更；</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（四）擅自增加投资概算；</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（五）要求施工单位对政府投资项目垫资建设；</w:t>
      </w:r>
    </w:p>
    <w:p>
      <w:pPr>
        <w:ind w:firstLine="622" w:firstLineChars="200"/>
        <w:contextualSpacing/>
        <w:rPr>
          <w:rFonts w:ascii="Times New Roman"/>
          <w:color w:val="000000" w:themeColor="text1"/>
          <w:kern w:val="0"/>
          <w14:textFill>
            <w14:solidFill>
              <w14:schemeClr w14:val="tx1"/>
            </w14:solidFill>
          </w14:textFill>
        </w:rPr>
      </w:pPr>
      <w:r>
        <w:rPr>
          <w:rFonts w:hint="eastAsia" w:ascii="Times New Roman"/>
          <w:color w:val="000000" w:themeColor="text1"/>
          <w:kern w:val="0"/>
          <w14:textFill>
            <w14:solidFill>
              <w14:schemeClr w14:val="tx1"/>
            </w14:solidFill>
          </w14:textFill>
        </w:rPr>
        <w:t>（六）无正当理由不实施或者不按照建设工期实施已批准的政府投资项目。</w:t>
      </w:r>
    </w:p>
    <w:p>
      <w:pPr>
        <w:ind w:firstLine="622" w:firstLineChars="200"/>
        <w:contextualSpacing/>
        <w:rPr>
          <w:rFonts w:hint="eastAsia" w:ascii="Times New Roman"/>
          <w:color w:val="000000" w:themeColor="text1"/>
          <w:kern w:val="0"/>
          <w14:textFill>
            <w14:solidFill>
              <w14:schemeClr w14:val="tx1"/>
            </w14:solidFill>
          </w14:textFill>
        </w:rPr>
      </w:pPr>
      <w:r>
        <w:rPr>
          <w:rFonts w:hint="eastAsia" w:ascii="Times New Roman" w:eastAsia="黑体" w:cs="黑体"/>
          <w:color w:val="000000" w:themeColor="text1"/>
          <w:kern w:val="0"/>
          <w14:textFill>
            <w14:solidFill>
              <w14:schemeClr w14:val="tx1"/>
            </w14:solidFill>
          </w14:textFill>
        </w:rPr>
        <w:t>第四十八条</w:t>
      </w:r>
      <w:r>
        <w:rPr>
          <w:rFonts w:hint="eastAsia" w:ascii="Times New Roman"/>
          <w:color w:val="000000" w:themeColor="text1"/>
          <w:kern w:val="0"/>
          <w14:textFill>
            <w14:solidFill>
              <w14:schemeClr w14:val="tx1"/>
            </w14:solidFill>
          </w14:textFill>
        </w:rPr>
        <w:t>　项目单位未按照规定将政府投资项目审批和实施过程中的有关文件、资料存档备查，或者转移、隐匿、篡改、毁弃项目有关文件、资料的，责令改正，对负有责任的领导人员和直接责任人员依法给予处分。</w:t>
      </w:r>
    </w:p>
    <w:p>
      <w:pPr>
        <w:ind w:firstLine="622" w:firstLineChars="200"/>
        <w:contextualSpacing/>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第四十</w:t>
      </w:r>
      <w:r>
        <w:rPr>
          <w:rFonts w:hint="eastAsia" w:ascii="Times New Roman" w:eastAsia="黑体"/>
          <w:color w:val="000000" w:themeColor="text1"/>
          <w:kern w:val="0"/>
          <w14:textFill>
            <w14:solidFill>
              <w14:schemeClr w14:val="tx1"/>
            </w14:solidFill>
          </w14:textFill>
        </w:rPr>
        <w:t>九</w:t>
      </w:r>
      <w:r>
        <w:rPr>
          <w:rFonts w:ascii="Times New Roman" w:eastAsia="黑体"/>
          <w:color w:val="000000" w:themeColor="text1"/>
          <w:kern w:val="0"/>
          <w14:textFill>
            <w14:solidFill>
              <w14:schemeClr w14:val="tx1"/>
            </w14:solidFill>
          </w14:textFill>
        </w:rPr>
        <w:t xml:space="preserve">条  </w:t>
      </w:r>
      <w:r>
        <w:rPr>
          <w:rFonts w:ascii="Times New Roman"/>
          <w:color w:val="000000" w:themeColor="text1"/>
          <w:kern w:val="0"/>
          <w14:textFill>
            <w14:solidFill>
              <w14:schemeClr w14:val="tx1"/>
            </w14:solidFill>
          </w14:textFill>
        </w:rPr>
        <w:t>政府投资项目发生重大质量事故的，应根据事故发生的原因，依法追究相关单位及责任人的责任，</w:t>
      </w:r>
      <w:r>
        <w:rPr>
          <w:rFonts w:hint="eastAsia" w:ascii="Times New Roman"/>
          <w:color w:val="000000" w:themeColor="text1"/>
          <w:kern w:val="0"/>
          <w14:textFill>
            <w14:solidFill>
              <w14:schemeClr w14:val="tx1"/>
            </w14:solidFill>
          </w14:textFill>
        </w:rPr>
        <w:t>包括</w:t>
      </w:r>
      <w:r>
        <w:rPr>
          <w:rFonts w:ascii="Times New Roman"/>
          <w:color w:val="000000" w:themeColor="text1"/>
          <w:kern w:val="0"/>
          <w14:textFill>
            <w14:solidFill>
              <w14:schemeClr w14:val="tx1"/>
            </w14:solidFill>
          </w14:textFill>
        </w:rPr>
        <w:t>项目审批、执行建设程序和工程建设监督管理等方面的责任。</w:t>
      </w:r>
    </w:p>
    <w:p>
      <w:pPr>
        <w:ind w:firstLine="622" w:firstLineChars="200"/>
        <w:contextualSpacing/>
        <w:rPr>
          <w:rFonts w:ascii="Times New Roman" w:eastAsia="黑体"/>
          <w:color w:val="000000" w:themeColor="text1"/>
          <w:kern w:val="0"/>
          <w14:textFill>
            <w14:solidFill>
              <w14:schemeClr w14:val="tx1"/>
            </w14:solidFill>
          </w14:textFill>
        </w:rPr>
      </w:pPr>
      <w:r>
        <w:rPr>
          <w:rFonts w:hint="eastAsia" w:ascii="Times New Roman" w:eastAsia="黑体" w:cs="黑体"/>
          <w:color w:val="000000" w:themeColor="text1"/>
          <w:kern w:val="0"/>
          <w14:textFill>
            <w14:solidFill>
              <w14:schemeClr w14:val="tx1"/>
            </w14:solidFill>
          </w14:textFill>
        </w:rPr>
        <w:t>第五十条</w:t>
      </w:r>
      <w:r>
        <w:rPr>
          <w:rFonts w:hint="eastAsia" w:ascii="Times New Roman"/>
          <w:color w:val="000000" w:themeColor="text1"/>
          <w:kern w:val="0"/>
          <w14:textFill>
            <w14:solidFill>
              <w14:schemeClr w14:val="tx1"/>
            </w14:solidFill>
          </w14:textFill>
        </w:rPr>
        <w:t>　违反本办法规定，构成犯罪的，依法追究刑事责任。</w:t>
      </w:r>
    </w:p>
    <w:p>
      <w:pPr>
        <w:ind w:firstLine="3421" w:firstLineChars="1100"/>
        <w:contextualSpacing/>
        <w:rPr>
          <w:rFonts w:ascii="Times New Roman" w:eastAsia="黑体"/>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第六章  附  则</w:t>
      </w:r>
    </w:p>
    <w:p>
      <w:pPr>
        <w:widowControl/>
        <w:tabs>
          <w:tab w:val="left" w:pos="851"/>
        </w:tabs>
        <w:ind w:firstLine="645"/>
        <w:jc w:val="left"/>
        <w:rPr>
          <w:rFonts w:ascii="Times New Roman"/>
          <w:color w:val="000000" w:themeColor="text1"/>
          <w:kern w:val="0"/>
          <w14:textFill>
            <w14:solidFill>
              <w14:schemeClr w14:val="tx1"/>
            </w14:solidFill>
          </w14:textFill>
        </w:rPr>
      </w:pPr>
      <w:r>
        <w:rPr>
          <w:rFonts w:ascii="Times New Roman" w:eastAsia="黑体"/>
          <w:color w:val="000000" w:themeColor="text1"/>
          <w:kern w:val="0"/>
          <w14:textFill>
            <w14:solidFill>
              <w14:schemeClr w14:val="tx1"/>
            </w14:solidFill>
          </w14:textFill>
        </w:rPr>
        <w:t>第</w:t>
      </w:r>
      <w:r>
        <w:rPr>
          <w:rFonts w:hint="eastAsia" w:ascii="Times New Roman" w:eastAsia="黑体"/>
          <w:color w:val="000000" w:themeColor="text1"/>
          <w:kern w:val="0"/>
          <w14:textFill>
            <w14:solidFill>
              <w14:schemeClr w14:val="tx1"/>
            </w14:solidFill>
          </w14:textFill>
        </w:rPr>
        <w:t>五十一</w:t>
      </w:r>
      <w:r>
        <w:rPr>
          <w:rFonts w:ascii="Times New Roman" w:eastAsia="黑体"/>
          <w:color w:val="000000" w:themeColor="text1"/>
          <w:kern w:val="0"/>
          <w14:textFill>
            <w14:solidFill>
              <w14:schemeClr w14:val="tx1"/>
            </w14:solidFill>
          </w14:textFill>
        </w:rPr>
        <w:t>条</w:t>
      </w:r>
      <w:r>
        <w:rPr>
          <w:rFonts w:ascii="Times New Roman"/>
          <w:color w:val="000000" w:themeColor="text1"/>
          <w:kern w:val="0"/>
          <w14:textFill>
            <w14:solidFill>
              <w14:schemeClr w14:val="tx1"/>
            </w14:solidFill>
          </w14:textFill>
        </w:rPr>
        <w:t xml:space="preserve">  相关部门可依据本办法在各自职责范围内制定相应实施细则。</w:t>
      </w:r>
    </w:p>
    <w:p>
      <w:pPr>
        <w:widowControl/>
        <w:tabs>
          <w:tab w:val="left" w:pos="851"/>
        </w:tabs>
        <w:ind w:firstLine="645"/>
        <w:jc w:val="left"/>
        <w:rPr>
          <w:rFonts w:ascii="仿宋" w:eastAsia="仿宋"/>
          <w:color w:val="000000" w:themeColor="text1"/>
          <w:szCs w:val="32"/>
          <w14:textFill>
            <w14:solidFill>
              <w14:schemeClr w14:val="tx1"/>
            </w14:solidFill>
          </w14:textFill>
        </w:rPr>
      </w:pPr>
      <w:r>
        <w:rPr>
          <w:rFonts w:hint="eastAsia" w:ascii="Times New Roman" w:eastAsia="黑体"/>
          <w:color w:val="000000" w:themeColor="text1"/>
          <w:kern w:val="0"/>
          <w14:textFill>
            <w14:solidFill>
              <w14:schemeClr w14:val="tx1"/>
            </w14:solidFill>
          </w14:textFill>
        </w:rPr>
        <w:t>第五十二条</w:t>
      </w:r>
      <w:r>
        <w:rPr>
          <w:rFonts w:hint="eastAsia" w:ascii="仿宋" w:eastAsia="仿宋"/>
          <w:color w:val="000000" w:themeColor="text1"/>
          <w:szCs w:val="32"/>
          <w14:textFill>
            <w14:solidFill>
              <w14:schemeClr w14:val="tx1"/>
            </w14:solidFill>
          </w14:textFill>
        </w:rPr>
        <w:t xml:space="preserve"> 本办法由中山市大涌镇人民政府负责解释。</w:t>
      </w:r>
    </w:p>
    <w:p>
      <w:pPr>
        <w:widowControl/>
        <w:tabs>
          <w:tab w:val="left" w:pos="851"/>
        </w:tabs>
        <w:ind w:firstLine="622" w:firstLineChars="200"/>
        <w:jc w:val="left"/>
        <w:rPr>
          <w:rFonts w:ascii="仿宋" w:eastAsia="仿宋"/>
          <w:color w:val="000000" w:themeColor="text1"/>
          <w:szCs w:val="32"/>
          <w14:textFill>
            <w14:solidFill>
              <w14:schemeClr w14:val="tx1"/>
            </w14:solidFill>
          </w14:textFill>
        </w:rPr>
      </w:pPr>
      <w:r>
        <w:rPr>
          <w:rFonts w:hint="eastAsia" w:ascii="Times New Roman" w:eastAsia="黑体"/>
          <w:color w:val="000000" w:themeColor="text1"/>
          <w:kern w:val="0"/>
          <w14:textFill>
            <w14:solidFill>
              <w14:schemeClr w14:val="tx1"/>
            </w14:solidFill>
          </w14:textFill>
        </w:rPr>
        <w:t>第五十三条</w:t>
      </w:r>
      <w:r>
        <w:rPr>
          <w:rFonts w:hint="eastAsia" w:ascii="仿宋" w:eastAsia="仿宋"/>
          <w:color w:val="000000" w:themeColor="text1"/>
          <w:szCs w:val="32"/>
          <w14:textFill>
            <w14:solidFill>
              <w14:schemeClr w14:val="tx1"/>
            </w14:solidFill>
          </w14:textFill>
        </w:rPr>
        <w:t xml:space="preserve"> 本办法自印发之日起施行，有效期五年。《大涌镇政府工程项目管理制度》（涌府办【2020】97号）同时废止。</w:t>
      </w:r>
    </w:p>
    <w:p>
      <w:pPr>
        <w:widowControl/>
        <w:tabs>
          <w:tab w:val="left" w:pos="851"/>
        </w:tabs>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附件：1. 工程变更报审表</w:t>
      </w:r>
    </w:p>
    <w:p>
      <w:pPr>
        <w:widowControl/>
        <w:tabs>
          <w:tab w:val="left" w:pos="851"/>
        </w:tabs>
        <w:jc w:val="left"/>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 xml:space="preserve">      2. 工程变更申报表</w:t>
      </w:r>
    </w:p>
    <w:p>
      <w:pPr>
        <w:spacing w:line="300" w:lineRule="auto"/>
        <w:ind w:firstLine="933" w:firstLineChars="300"/>
        <w:rPr>
          <w:rFonts w:ascii="仿宋" w:eastAsia="仿宋"/>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3. 工程变更明细表</w:t>
      </w:r>
    </w:p>
    <w:p>
      <w:pPr>
        <w:spacing w:line="300" w:lineRule="auto"/>
        <w:ind w:firstLine="933" w:firstLineChars="300"/>
        <w:rPr>
          <w:rFonts w:eastAsia="黑体"/>
          <w:color w:val="000000" w:themeColor="text1"/>
          <w:szCs w:val="32"/>
          <w14:textFill>
            <w14:solidFill>
              <w14:schemeClr w14:val="tx1"/>
            </w14:solidFill>
          </w14:textFill>
        </w:rPr>
      </w:pPr>
      <w:r>
        <w:rPr>
          <w:rFonts w:hint="eastAsia" w:ascii="仿宋" w:eastAsia="仿宋"/>
          <w:color w:val="000000" w:themeColor="text1"/>
          <w:szCs w:val="32"/>
          <w14:textFill>
            <w14:solidFill>
              <w14:schemeClr w14:val="tx1"/>
            </w14:solidFill>
          </w14:textFill>
        </w:rPr>
        <w:t>4. 政府投资项目工程变更备案表</w:t>
      </w: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p>
    <w:p>
      <w:pPr>
        <w:pStyle w:val="3"/>
      </w:pP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附件1</w:t>
      </w:r>
    </w:p>
    <w:p>
      <w:pPr>
        <w:spacing w:line="300" w:lineRule="auto"/>
        <w:jc w:val="center"/>
        <w:rPr>
          <w:rFonts w:ascii="微软简标宋" w:eastAsia="微软简标宋" w:cs="微软简标宋"/>
          <w:color w:val="000000" w:themeColor="text1"/>
          <w:sz w:val="44"/>
          <w:szCs w:val="44"/>
          <w14:textFill>
            <w14:solidFill>
              <w14:schemeClr w14:val="tx1"/>
            </w14:solidFill>
          </w14:textFill>
        </w:rPr>
      </w:pPr>
      <w:r>
        <w:rPr>
          <w:rFonts w:hint="eastAsia" w:ascii="微软简标宋" w:eastAsia="微软简标宋" w:cs="微软简标宋"/>
          <w:color w:val="000000" w:themeColor="text1"/>
          <w:sz w:val="44"/>
          <w:szCs w:val="44"/>
          <w14:textFill>
            <w14:solidFill>
              <w14:schemeClr w14:val="tx1"/>
            </w14:solidFill>
          </w14:textFill>
        </w:rPr>
        <w:t>工程变更报审表</w:t>
      </w:r>
    </w:p>
    <w:p>
      <w:pPr>
        <w:spacing w:line="360" w:lineRule="auto"/>
        <w:rPr>
          <w:color w:val="000000" w:themeColor="text1"/>
          <w:szCs w:val="21"/>
          <w14:textFill>
            <w14:solidFill>
              <w14:schemeClr w14:val="tx1"/>
            </w14:solidFill>
          </w14:textFill>
        </w:rPr>
      </w:pPr>
      <w:r>
        <w:rPr>
          <w:rFonts w:hint="eastAsia"/>
          <w:color w:val="000000" w:themeColor="text1"/>
          <w:sz w:val="30"/>
          <w:szCs w:val="30"/>
          <w14:textFill>
            <w14:solidFill>
              <w14:schemeClr w14:val="tx1"/>
            </w14:solidFill>
          </w14:textFill>
        </w:rPr>
        <w:t>工程名称:</w:t>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ab/>
      </w:r>
      <w:r>
        <w:rPr>
          <w:rFonts w:hint="eastAsia"/>
          <w:color w:val="000000" w:themeColor="text1"/>
          <w:szCs w:val="21"/>
          <w14:textFill>
            <w14:solidFill>
              <w14:schemeClr w14:val="tx1"/>
            </w14:solidFill>
          </w14:textFill>
        </w:rPr>
        <w:t xml:space="preserve">    </w:t>
      </w:r>
      <w:r>
        <w:rPr>
          <w:rFonts w:hint="eastAsia"/>
          <w:color w:val="000000" w:themeColor="text1"/>
          <w:sz w:val="30"/>
          <w:szCs w:val="30"/>
          <w14:textFill>
            <w14:solidFill>
              <w14:schemeClr w14:val="tx1"/>
            </w14:solidFill>
          </w14:textFill>
        </w:rPr>
        <w:t xml:space="preserve"> 编号:</w:t>
      </w:r>
      <w:r>
        <w:rPr>
          <w:rFonts w:hint="eastAsia"/>
          <w:color w:val="000000" w:themeColor="text1"/>
          <w:szCs w:val="21"/>
          <w14:textFill>
            <w14:solidFill>
              <w14:schemeClr w14:val="tx1"/>
            </w14:solidFill>
          </w14:textFill>
        </w:rPr>
        <w:t xml:space="preserve"> </w:t>
      </w:r>
    </w:p>
    <w:tbl>
      <w:tblPr>
        <w:tblStyle w:val="9"/>
        <w:tblW w:w="956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090" w:hRule="atLeast"/>
          <w:jc w:val="center"/>
        </w:trPr>
        <w:tc>
          <w:tcPr>
            <w:tcW w:w="9560" w:type="dxa"/>
            <w:tcBorders>
              <w:bottom w:val="single" w:color="000000" w:sz="6" w:space="0"/>
            </w:tcBorders>
          </w:tcPr>
          <w:p>
            <w:pPr>
              <w:spacing w:before="120" w:line="4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（监理单位全称）</w:t>
            </w:r>
          </w:p>
          <w:p>
            <w:pPr>
              <w:tabs>
                <w:tab w:val="left" w:pos="6192"/>
              </w:tabs>
              <w:spacing w:line="460" w:lineRule="exact"/>
              <w:ind w:firstLine="311" w:firstLineChars="1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由于</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原因，现需</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工程变更（内容见附件），请予以审批。</w:t>
            </w:r>
          </w:p>
          <w:p>
            <w:pPr>
              <w:spacing w:line="460" w:lineRule="exact"/>
              <w:ind w:firstLine="24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附件：</w:t>
            </w:r>
          </w:p>
          <w:p>
            <w:pPr>
              <w:spacing w:line="460" w:lineRule="exact"/>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1、提出变更原因（必要时附图）、依据；</w:t>
            </w:r>
          </w:p>
          <w:p>
            <w:pPr>
              <w:spacing w:line="460" w:lineRule="exact"/>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2、工程量增减计算书；</w:t>
            </w:r>
          </w:p>
          <w:p>
            <w:pPr>
              <w:spacing w:line="460" w:lineRule="exact"/>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3、工程变更价款报价单；</w:t>
            </w:r>
          </w:p>
          <w:p>
            <w:pPr>
              <w:spacing w:line="460" w:lineRule="exact"/>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4、其他资料。</w:t>
            </w:r>
          </w:p>
          <w:p>
            <w:pPr>
              <w:spacing w:line="460" w:lineRule="exact"/>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 xml:space="preserve">                                 承包单位（盖章）                 </w:t>
            </w:r>
          </w:p>
          <w:p>
            <w:pPr>
              <w:spacing w:line="460" w:lineRule="exact"/>
              <w:ind w:firstLine="4927" w:firstLineChars="1300"/>
              <w:rPr>
                <w:color w:val="000000" w:themeColor="text1"/>
                <w:szCs w:val="21"/>
                <w:u w:val="single"/>
                <w14:textFill>
                  <w14:solidFill>
                    <w14:schemeClr w14:val="tx1"/>
                  </w14:solidFill>
                </w14:textFill>
              </w:rPr>
            </w:pPr>
            <w:r>
              <w:rPr>
                <w:rFonts w:hint="eastAsia"/>
                <w:color w:val="000000" w:themeColor="text1"/>
                <w:spacing w:val="28"/>
                <w:szCs w:val="21"/>
                <w14:textFill>
                  <w14:solidFill>
                    <w14:schemeClr w14:val="tx1"/>
                  </w14:solidFill>
                </w14:textFill>
              </w:rPr>
              <w:t>承包人代表（项目经理）</w:t>
            </w:r>
            <w:r>
              <w:rPr>
                <w:rFonts w:hint="eastAsia"/>
                <w:color w:val="000000" w:themeColor="text1"/>
                <w:szCs w:val="21"/>
                <w14:textFill>
                  <w14:solidFill>
                    <w14:schemeClr w14:val="tx1"/>
                  </w14:solidFill>
                </w14:textFill>
              </w:rPr>
              <w:t>：</w:t>
            </w:r>
          </w:p>
          <w:p>
            <w:pPr>
              <w:spacing w:line="460" w:lineRule="exact"/>
              <w:ind w:firstLine="5131" w:firstLineChars="1650"/>
              <w:rPr>
                <w:color w:val="000000" w:themeColor="text1"/>
                <w:spacing w:val="20"/>
                <w:szCs w:val="21"/>
                <w:u w:val="single"/>
                <w14:textFill>
                  <w14:solidFill>
                    <w14:schemeClr w14:val="tx1"/>
                  </w14:solidFill>
                </w14:textFill>
              </w:rPr>
            </w:pPr>
            <w:r>
              <w:rPr>
                <w:rFonts w:hint="eastAsia"/>
                <w:color w:val="000000" w:themeColor="text1"/>
                <w:szCs w:val="21"/>
                <w14:textFill>
                  <w14:solidFill>
                    <w14:schemeClr w14:val="tx1"/>
                  </w14:solidFill>
                </w14:textFill>
              </w:rPr>
              <w:t>日        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82" w:hRule="atLeast"/>
          <w:jc w:val="center"/>
        </w:trPr>
        <w:tc>
          <w:tcPr>
            <w:tcW w:w="9560" w:type="dxa"/>
            <w:tcBorders>
              <w:top w:val="single" w:color="000000" w:sz="6" w:space="0"/>
              <w:bottom w:val="single" w:color="auto" w:sz="4" w:space="0"/>
            </w:tcBorders>
          </w:tcPr>
          <w:p>
            <w:pPr>
              <w:widowControl/>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复核意见：</w:t>
            </w:r>
          </w:p>
          <w:p>
            <w:pPr>
              <w:widowControl/>
              <w:jc w:val="left"/>
              <w:rPr>
                <w:color w:val="000000" w:themeColor="text1"/>
                <w:szCs w:val="21"/>
                <w14:textFill>
                  <w14:solidFill>
                    <w14:schemeClr w14:val="tx1"/>
                  </w14:solidFill>
                </w14:textFill>
              </w:rPr>
            </w:pPr>
          </w:p>
          <w:p>
            <w:pPr>
              <w:spacing w:line="460" w:lineRule="exact"/>
              <w:ind w:firstLine="4976" w:firstLineChars="160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专业监理工程师：</w:t>
            </w:r>
          </w:p>
          <w:p>
            <w:pPr>
              <w:spacing w:line="460" w:lineRule="exact"/>
              <w:ind w:firstLine="4976" w:firstLineChars="16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日          期：</w:t>
            </w:r>
            <w:r>
              <w:rPr>
                <w:rFonts w:hint="eastAsia"/>
                <w:color w:val="000000" w:themeColor="text1"/>
                <w:szCs w:val="21"/>
                <w:u w:val="single"/>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84" w:hRule="atLeast"/>
          <w:jc w:val="center"/>
        </w:trPr>
        <w:tc>
          <w:tcPr>
            <w:tcW w:w="9560" w:type="dxa"/>
            <w:tcBorders>
              <w:top w:val="single" w:color="auto" w:sz="4" w:space="0"/>
              <w:bottom w:val="single" w:color="000000" w:sz="6" w:space="0"/>
            </w:tcBorders>
          </w:tcPr>
          <w:p>
            <w:pPr>
              <w:widowControl/>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审核意见：</w:t>
            </w:r>
          </w:p>
          <w:p>
            <w:pPr>
              <w:spacing w:line="460" w:lineRule="exact"/>
              <w:ind w:firstLine="4976" w:firstLineChars="16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监理单位（盖章）</w:t>
            </w:r>
          </w:p>
          <w:p>
            <w:pPr>
              <w:spacing w:line="460" w:lineRule="exact"/>
              <w:ind w:firstLine="4976" w:firstLineChars="16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总监理工程师：</w:t>
            </w:r>
            <w:r>
              <w:rPr>
                <w:rFonts w:hint="eastAsia"/>
                <w:color w:val="000000" w:themeColor="text1"/>
                <w:szCs w:val="21"/>
                <w:u w:val="single"/>
                <w14:textFill>
                  <w14:solidFill>
                    <w14:schemeClr w14:val="tx1"/>
                  </w14:solidFill>
                </w14:textFill>
              </w:rPr>
              <w:t xml:space="preserve">           </w:t>
            </w:r>
          </w:p>
          <w:p>
            <w:pPr>
              <w:spacing w:line="460" w:lineRule="exact"/>
              <w:ind w:firstLine="4976" w:firstLineChars="16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日        期：</w:t>
            </w:r>
            <w:r>
              <w:rPr>
                <w:rFonts w:hint="eastAsia"/>
                <w:color w:val="000000" w:themeColor="text1"/>
                <w:szCs w:val="21"/>
                <w:u w:val="single"/>
                <w14:textFill>
                  <w14:solidFill>
                    <w14:schemeClr w14:val="tx1"/>
                  </w14:solidFill>
                </w14:textFill>
              </w:rPr>
              <w:t xml:space="preserve">           </w:t>
            </w:r>
          </w:p>
        </w:tc>
      </w:tr>
    </w:tbl>
    <w:p>
      <w:pPr>
        <w:widowControl/>
        <w:jc w:val="left"/>
        <w:rPr>
          <w:rFonts w:eastAsia="黑体"/>
          <w:color w:val="000000" w:themeColor="text1"/>
          <w:szCs w:val="32"/>
          <w14:textFill>
            <w14:solidFill>
              <w14:schemeClr w14:val="tx1"/>
            </w14:solidFill>
          </w14:textFill>
        </w:rPr>
      </w:pPr>
      <w:r>
        <w:rPr>
          <w:rFonts w:hint="eastAsia"/>
          <w:color w:val="000000" w:themeColor="text1"/>
          <w:sz w:val="30"/>
          <w:szCs w:val="30"/>
          <w14:textFill>
            <w14:solidFill>
              <w14:schemeClr w14:val="tx1"/>
            </w14:solidFill>
          </w14:textFill>
        </w:rPr>
        <w:t>说明</w:t>
      </w:r>
      <w:r>
        <w:rPr>
          <w:rFonts w:hint="eastAsia"/>
          <w:color w:val="000000" w:themeColor="text1"/>
          <w:szCs w:val="21"/>
          <w14:textFill>
            <w14:solidFill>
              <w14:schemeClr w14:val="tx1"/>
            </w14:solidFill>
          </w14:textFill>
        </w:rPr>
        <w:t>：本表一式四份，在施工过程中出现工程需要变更的请款时，承包人应向监理单位提出变更申请，按要求提交相关附件。</w:t>
      </w:r>
    </w:p>
    <w:p>
      <w:pPr>
        <w:spacing w:line="300" w:lineRule="auto"/>
        <w:rPr>
          <w:rFonts w:eastAsia="黑体"/>
          <w:color w:val="000000" w:themeColor="text1"/>
          <w:szCs w:val="32"/>
          <w14:textFill>
            <w14:solidFill>
              <w14:schemeClr w14:val="tx1"/>
            </w14:solidFill>
          </w14:textFill>
        </w:rPr>
      </w:pPr>
    </w:p>
    <w:p>
      <w:pPr>
        <w:spacing w:line="300" w:lineRule="auto"/>
        <w:rPr>
          <w:rFonts w:eastAsia="黑体"/>
          <w:color w:val="000000" w:themeColor="text1"/>
          <w:szCs w:val="32"/>
          <w14:textFill>
            <w14:solidFill>
              <w14:schemeClr w14:val="tx1"/>
            </w14:solidFill>
          </w14:textFill>
        </w:rPr>
      </w:pPr>
      <w:r>
        <w:rPr>
          <w:rFonts w:hint="eastAsia" w:eastAsia="黑体"/>
          <w:color w:val="000000" w:themeColor="text1"/>
          <w:szCs w:val="32"/>
          <w14:textFill>
            <w14:solidFill>
              <w14:schemeClr w14:val="tx1"/>
            </w14:solidFill>
          </w14:textFill>
        </w:rPr>
        <w:t>附件2</w:t>
      </w:r>
    </w:p>
    <w:p>
      <w:pPr>
        <w:jc w:val="center"/>
        <w:rPr>
          <w:b/>
          <w:color w:val="000000" w:themeColor="text1"/>
          <w:szCs w:val="28"/>
          <w14:textFill>
            <w14:solidFill>
              <w14:schemeClr w14:val="tx1"/>
            </w14:solidFill>
          </w14:textFill>
        </w:rPr>
      </w:pPr>
      <w:r>
        <w:rPr>
          <w:rFonts w:hint="eastAsia" w:ascii="微软简标宋" w:eastAsia="微软简标宋" w:cs="微软简标宋"/>
          <w:color w:val="000000" w:themeColor="text1"/>
          <w:sz w:val="44"/>
          <w:szCs w:val="44"/>
          <w14:textFill>
            <w14:solidFill>
              <w14:schemeClr w14:val="tx1"/>
            </w14:solidFill>
          </w14:textFill>
        </w:rPr>
        <w:t xml:space="preserve">工程变更申报表 </w:t>
      </w:r>
      <w:r>
        <w:rPr>
          <w:rFonts w:hint="eastAsia" w:ascii="黑体" w:eastAsia="黑体"/>
          <w:b/>
          <w:color w:val="000000" w:themeColor="text1"/>
          <w:sz w:val="28"/>
          <w:szCs w:val="28"/>
          <w14:textFill>
            <w14:solidFill>
              <w14:schemeClr w14:val="tx1"/>
            </w14:solidFill>
          </w14:textFill>
        </w:rPr>
        <w:t xml:space="preserve">   </w:t>
      </w:r>
    </w:p>
    <w:p>
      <w:pPr>
        <w:jc w:val="left"/>
        <w:rPr>
          <w:rFonts w:ascii="黑体" w:eastAsia="黑体"/>
          <w:b/>
          <w:color w:val="000000" w:themeColor="text1"/>
          <w:szCs w:val="21"/>
          <w14:textFill>
            <w14:solidFill>
              <w14:schemeClr w14:val="tx1"/>
            </w14:solidFill>
          </w14:textFill>
        </w:rPr>
      </w:pPr>
      <w:r>
        <w:rPr>
          <w:rFonts w:hint="eastAsia"/>
          <w:color w:val="000000" w:themeColor="text1"/>
          <w:sz w:val="30"/>
          <w:szCs w:val="30"/>
          <w14:textFill>
            <w14:solidFill>
              <w14:schemeClr w14:val="tx1"/>
            </w14:solidFill>
          </w14:textFill>
        </w:rPr>
        <w:t xml:space="preserve">申报时间：   年  月   日  </w:t>
      </w:r>
      <w:r>
        <w:rPr>
          <w:rFonts w:hint="eastAsia"/>
          <w:color w:val="000000" w:themeColor="text1"/>
          <w:szCs w:val="21"/>
          <w14:textFill>
            <w14:solidFill>
              <w14:schemeClr w14:val="tx1"/>
            </w14:solidFill>
          </w14:textFill>
        </w:rPr>
        <w:t xml:space="preserve">         </w:t>
      </w:r>
      <w:r>
        <w:rPr>
          <w:rFonts w:hint="eastAsia"/>
          <w:color w:val="000000" w:themeColor="text1"/>
          <w:sz w:val="30"/>
          <w:szCs w:val="30"/>
          <w14:textFill>
            <w14:solidFill>
              <w14:schemeClr w14:val="tx1"/>
            </w14:solidFill>
          </w14:textFill>
        </w:rPr>
        <w:t xml:space="preserve"> 编号：</w:t>
      </w:r>
      <w:r>
        <w:rPr>
          <w:rFonts w:hint="eastAsia"/>
          <w:color w:val="000000" w:themeColor="text1"/>
          <w:szCs w:val="21"/>
          <w14:textFill>
            <w14:solidFill>
              <w14:schemeClr w14:val="tx1"/>
            </w14:solidFill>
          </w14:textFill>
        </w:rPr>
        <w:t xml:space="preserve">                        </w:t>
      </w:r>
    </w:p>
    <w:tbl>
      <w:tblPr>
        <w:tblStyle w:val="9"/>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8"/>
        <w:gridCol w:w="1342"/>
        <w:gridCol w:w="2588"/>
        <w:gridCol w:w="1013"/>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项目名称</w:t>
            </w:r>
          </w:p>
        </w:tc>
        <w:tc>
          <w:tcPr>
            <w:tcW w:w="6882" w:type="dxa"/>
            <w:gridSpan w:val="4"/>
            <w:vAlign w:val="center"/>
          </w:tcPr>
          <w:p>
            <w:pPr>
              <w:jc w:val="left"/>
              <w:rPr>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单项工程名称</w:t>
            </w:r>
          </w:p>
        </w:tc>
        <w:tc>
          <w:tcPr>
            <w:tcW w:w="3930" w:type="dxa"/>
            <w:gridSpan w:val="2"/>
            <w:vAlign w:val="center"/>
          </w:tcPr>
          <w:p>
            <w:pPr>
              <w:jc w:val="left"/>
              <w:rPr>
                <w:color w:val="000000" w:themeColor="text1"/>
                <w:sz w:val="30"/>
                <w:szCs w:val="30"/>
                <w14:textFill>
                  <w14:solidFill>
                    <w14:schemeClr w14:val="tx1"/>
                  </w14:solidFill>
                </w14:textFill>
              </w:rPr>
            </w:pPr>
          </w:p>
        </w:tc>
        <w:tc>
          <w:tcPr>
            <w:tcW w:w="1013"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合同编号</w:t>
            </w:r>
          </w:p>
        </w:tc>
        <w:tc>
          <w:tcPr>
            <w:tcW w:w="1939" w:type="dxa"/>
            <w:vAlign w:val="center"/>
          </w:tcPr>
          <w:p>
            <w:pPr>
              <w:jc w:val="left"/>
              <w:rPr>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立项总投资</w:t>
            </w:r>
          </w:p>
        </w:tc>
        <w:tc>
          <w:tcPr>
            <w:tcW w:w="1342" w:type="dxa"/>
            <w:vAlign w:val="center"/>
          </w:tcPr>
          <w:p>
            <w:pPr>
              <w:jc w:val="left"/>
              <w:rPr>
                <w:color w:val="000000" w:themeColor="text1"/>
                <w:sz w:val="30"/>
                <w:szCs w:val="30"/>
                <w14:textFill>
                  <w14:solidFill>
                    <w14:schemeClr w14:val="tx1"/>
                  </w14:solidFill>
                </w14:textFill>
              </w:rPr>
            </w:pPr>
          </w:p>
        </w:tc>
        <w:tc>
          <w:tcPr>
            <w:tcW w:w="258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概算总投资</w:t>
            </w:r>
          </w:p>
        </w:tc>
        <w:tc>
          <w:tcPr>
            <w:tcW w:w="2952" w:type="dxa"/>
            <w:gridSpan w:val="2"/>
            <w:vAlign w:val="center"/>
          </w:tcPr>
          <w:p>
            <w:pPr>
              <w:jc w:val="left"/>
              <w:rPr>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中介预算价</w:t>
            </w:r>
          </w:p>
        </w:tc>
        <w:tc>
          <w:tcPr>
            <w:tcW w:w="1342" w:type="dxa"/>
            <w:vAlign w:val="center"/>
          </w:tcPr>
          <w:p>
            <w:pPr>
              <w:jc w:val="left"/>
              <w:rPr>
                <w:color w:val="000000" w:themeColor="text1"/>
                <w:sz w:val="30"/>
                <w:szCs w:val="30"/>
                <w14:textFill>
                  <w14:solidFill>
                    <w14:schemeClr w14:val="tx1"/>
                  </w14:solidFill>
                </w14:textFill>
              </w:rPr>
            </w:pPr>
          </w:p>
        </w:tc>
        <w:tc>
          <w:tcPr>
            <w:tcW w:w="258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中标金额(合同价)</w:t>
            </w:r>
          </w:p>
        </w:tc>
        <w:tc>
          <w:tcPr>
            <w:tcW w:w="2952" w:type="dxa"/>
            <w:gridSpan w:val="2"/>
            <w:vAlign w:val="center"/>
          </w:tcPr>
          <w:p>
            <w:pPr>
              <w:jc w:val="left"/>
              <w:rPr>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变更工程资金来源</w:t>
            </w:r>
          </w:p>
        </w:tc>
        <w:tc>
          <w:tcPr>
            <w:tcW w:w="6882" w:type="dxa"/>
            <w:gridSpan w:val="4"/>
            <w:vAlign w:val="center"/>
          </w:tcPr>
          <w:p>
            <w:pPr>
              <w:jc w:val="left"/>
              <w:rPr>
                <w:color w:val="000000" w:themeColor="text1"/>
                <w14:textFill>
                  <w14:solidFill>
                    <w14:schemeClr w14:val="tx1"/>
                  </w14:solidFill>
                </w14:textFill>
              </w:rPr>
            </w:pPr>
          </w:p>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变更原因及内容</w:t>
            </w:r>
          </w:p>
        </w:tc>
        <w:tc>
          <w:tcPr>
            <w:tcW w:w="6882" w:type="dxa"/>
            <w:gridSpan w:val="4"/>
            <w:vAlign w:val="center"/>
          </w:tcPr>
          <w:p>
            <w:pPr>
              <w:jc w:val="left"/>
              <w:rPr>
                <w:color w:val="000000" w:themeColor="text1"/>
                <w14:textFill>
                  <w14:solidFill>
                    <w14:schemeClr w14:val="tx1"/>
                  </w14:solidFill>
                </w14:textFill>
              </w:rPr>
            </w:pPr>
          </w:p>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变更工程量金额（元）</w:t>
            </w:r>
          </w:p>
        </w:tc>
        <w:tc>
          <w:tcPr>
            <w:tcW w:w="6882" w:type="dxa"/>
            <w:gridSpan w:val="4"/>
            <w:vAlign w:val="center"/>
          </w:tcPr>
          <w:p>
            <w:pPr>
              <w:jc w:val="left"/>
              <w:rPr>
                <w:color w:val="000000" w:themeColor="text1"/>
                <w14:textFill>
                  <w14:solidFill>
                    <w14:schemeClr w14:val="tx1"/>
                  </w14:solidFill>
                </w14:textFill>
              </w:rPr>
            </w:pPr>
          </w:p>
          <w:p>
            <w:pPr>
              <w:pStyle w:val="3"/>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设计单位意见</w:t>
            </w:r>
          </w:p>
        </w:tc>
        <w:tc>
          <w:tcPr>
            <w:tcW w:w="6882" w:type="dxa"/>
            <w:gridSpan w:val="4"/>
            <w:vAlign w:val="center"/>
          </w:tcPr>
          <w:p>
            <w:pPr>
              <w:jc w:val="left"/>
              <w:rPr>
                <w:color w:val="000000" w:themeColor="text1"/>
                <w:sz w:val="30"/>
                <w:szCs w:val="30"/>
                <w14:textFill>
                  <w14:solidFill>
                    <w14:schemeClr w14:val="tx1"/>
                  </w14:solidFill>
                </w14:textFill>
              </w:rPr>
            </w:pPr>
          </w:p>
          <w:p>
            <w:pPr>
              <w:pStyle w:val="3"/>
              <w:rPr>
                <w:color w:val="000000" w:themeColor="text1"/>
                <w14:textFill>
                  <w14:solidFill>
                    <w14:schemeClr w14:val="tx1"/>
                  </w14:solidFill>
                </w14:textFill>
              </w:rPr>
            </w:pPr>
          </w:p>
          <w:p>
            <w:pPr>
              <w:ind w:firstLine="271" w:firstLineChars="100"/>
              <w:jc w:val="left"/>
              <w:rPr>
                <w:color w:val="000000" w:themeColor="text1"/>
                <w:sz w:val="30"/>
                <w:szCs w:val="30"/>
                <w14:textFill>
                  <w14:solidFill>
                    <w14:schemeClr w14:val="tx1"/>
                  </w14:solidFill>
                </w14:textFill>
              </w:rPr>
            </w:pPr>
            <w:r>
              <w:rPr>
                <w:rFonts w:hint="eastAsia"/>
                <w:color w:val="000000" w:themeColor="text1"/>
                <w:sz w:val="28"/>
                <w:szCs w:val="28"/>
                <w14:textFill>
                  <w14:solidFill>
                    <w14:schemeClr w14:val="tx1"/>
                  </w14:solidFill>
                </w14:textFill>
              </w:rPr>
              <w:t>设计负责人签名（单位盖章）：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监理单位意见</w:t>
            </w:r>
          </w:p>
        </w:tc>
        <w:tc>
          <w:tcPr>
            <w:tcW w:w="6882" w:type="dxa"/>
            <w:gridSpan w:val="4"/>
            <w:vAlign w:val="center"/>
          </w:tcPr>
          <w:p>
            <w:pPr>
              <w:jc w:val="left"/>
              <w:rPr>
                <w:color w:val="000000" w:themeColor="text1"/>
                <w:sz w:val="30"/>
                <w:szCs w:val="30"/>
                <w14:textFill>
                  <w14:solidFill>
                    <w14:schemeClr w14:val="tx1"/>
                  </w14:solidFill>
                </w14:textFill>
              </w:rPr>
            </w:pPr>
          </w:p>
          <w:p>
            <w:pPr>
              <w:pStyle w:val="3"/>
              <w:rPr>
                <w:color w:val="000000" w:themeColor="text1"/>
                <w14:textFill>
                  <w14:solidFill>
                    <w14:schemeClr w14:val="tx1"/>
                  </w14:solidFill>
                </w14:textFill>
              </w:rPr>
            </w:pPr>
          </w:p>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w:t>
            </w:r>
            <w:r>
              <w:rPr>
                <w:rFonts w:hint="eastAsia"/>
                <w:color w:val="000000" w:themeColor="text1"/>
                <w:sz w:val="28"/>
                <w:szCs w:val="28"/>
                <w14:textFill>
                  <w14:solidFill>
                    <w14:schemeClr w14:val="tx1"/>
                  </w14:solidFill>
                </w14:textFill>
              </w:rPr>
              <w:t>总监理工程师签名（单位盖章）：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建设单位意见</w:t>
            </w:r>
          </w:p>
        </w:tc>
        <w:tc>
          <w:tcPr>
            <w:tcW w:w="6882" w:type="dxa"/>
            <w:gridSpan w:val="4"/>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w:t>
            </w:r>
          </w:p>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w:t>
            </w:r>
          </w:p>
          <w:p>
            <w:pPr>
              <w:jc w:val="left"/>
              <w:rPr>
                <w:color w:val="000000" w:themeColor="text1"/>
                <w:sz w:val="30"/>
                <w:szCs w:val="30"/>
                <w14:textFill>
                  <w14:solidFill>
                    <w14:schemeClr w14:val="tx1"/>
                  </w14:solidFill>
                </w14:textFill>
              </w:rPr>
            </w:pPr>
            <w:r>
              <w:rPr>
                <w:rFonts w:hint="eastAsia"/>
                <w:color w:val="000000" w:themeColor="text1"/>
                <w:sz w:val="28"/>
                <w:szCs w:val="28"/>
                <w14:textFill>
                  <w14:solidFill>
                    <w14:schemeClr w14:val="tx1"/>
                  </w14:solidFill>
                </w14:textFill>
              </w:rPr>
              <w:t>单位负责人签名（单位盖章）：           年    月</w:t>
            </w:r>
            <w:r>
              <w:rPr>
                <w:rFonts w:hint="eastAsia"/>
                <w:color w:val="000000" w:themeColor="text1"/>
                <w:sz w:val="30"/>
                <w:szCs w:val="30"/>
                <w14:textFill>
                  <w14:solidFill>
                    <w14:schemeClr w14:val="tx1"/>
                  </w14:solidFill>
                </w14:textFill>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镇主管部门意见</w:t>
            </w:r>
          </w:p>
        </w:tc>
        <w:tc>
          <w:tcPr>
            <w:tcW w:w="6882" w:type="dxa"/>
            <w:gridSpan w:val="4"/>
          </w:tcPr>
          <w:p>
            <w:pPr>
              <w:jc w:val="left"/>
              <w:rPr>
                <w:color w:val="000000" w:themeColor="text1"/>
                <w:sz w:val="30"/>
                <w:szCs w:val="30"/>
                <w14:textFill>
                  <w14:solidFill>
                    <w14:schemeClr w14:val="tx1"/>
                  </w14:solidFill>
                </w14:textFill>
              </w:rPr>
            </w:pPr>
          </w:p>
          <w:p>
            <w:pPr>
              <w:pStyle w:val="3"/>
              <w:rPr>
                <w:color w:val="000000" w:themeColor="text1"/>
                <w14:textFill>
                  <w14:solidFill>
                    <w14:schemeClr w14:val="tx1"/>
                  </w14:solidFill>
                </w14:textFill>
              </w:rPr>
            </w:pPr>
          </w:p>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单位负责人签名（单位盖章）：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2578" w:type="dxa"/>
            <w:vAlign w:val="center"/>
          </w:tcPr>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镇分管领导意见</w:t>
            </w:r>
          </w:p>
        </w:tc>
        <w:tc>
          <w:tcPr>
            <w:tcW w:w="6882" w:type="dxa"/>
            <w:gridSpan w:val="4"/>
          </w:tcPr>
          <w:p>
            <w:pPr>
              <w:jc w:val="left"/>
              <w:rPr>
                <w:color w:val="000000" w:themeColor="text1"/>
                <w:sz w:val="30"/>
                <w:szCs w:val="30"/>
                <w14:textFill>
                  <w14:solidFill>
                    <w14:schemeClr w14:val="tx1"/>
                  </w14:solidFill>
                </w14:textFill>
              </w:rPr>
            </w:pPr>
          </w:p>
          <w:p>
            <w:pPr>
              <w:jc w:val="left"/>
              <w:rPr>
                <w:color w:val="000000" w:themeColor="text1"/>
                <w:sz w:val="30"/>
                <w:szCs w:val="30"/>
                <w14:textFill>
                  <w14:solidFill>
                    <w14:schemeClr w14:val="tx1"/>
                  </w14:solidFill>
                </w14:textFill>
              </w:rPr>
            </w:pPr>
          </w:p>
          <w:p>
            <w:pPr>
              <w:jc w:val="left"/>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 镇分管领导签名：                 年    月    日</w:t>
            </w:r>
          </w:p>
        </w:tc>
      </w:tr>
    </w:tbl>
    <w:p>
      <w:pPr>
        <w:jc w:val="left"/>
        <w:rPr>
          <w:color w:val="000000" w:themeColor="text1"/>
          <w:sz w:val="30"/>
          <w:szCs w:val="30"/>
          <w14:textFill>
            <w14:solidFill>
              <w14:schemeClr w14:val="tx1"/>
            </w14:solidFill>
          </w14:textFill>
        </w:rPr>
      </w:pPr>
    </w:p>
    <w:p>
      <w:pPr>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说明：本表按照各单位审核权限进行报批，由监理单位填写、报审后连同变更预算资料、有关会议纪要、补充协议等作为工程结算审核依据。</w:t>
      </w:r>
    </w:p>
    <w:p>
      <w:pPr>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备注：1、表格审批后承包人两份、建设单位及主管部门各存一份。2、变更费用估算只作参考，结算以财政审核为准。3、本表需附《工程变更报审表》及相关附件。</w:t>
      </w:r>
    </w:p>
    <w:p>
      <w:pPr>
        <w:jc w:val="left"/>
        <w:rPr>
          <w:rFonts w:eastAsia="黑体"/>
          <w:color w:val="000000" w:themeColor="text1"/>
          <w:szCs w:val="32"/>
          <w14:textFill>
            <w14:solidFill>
              <w14:schemeClr w14:val="tx1"/>
            </w14:solidFill>
          </w14:textFill>
        </w:rPr>
      </w:pPr>
      <w:r>
        <w:rPr>
          <w:rFonts w:hint="eastAsia"/>
          <w:color w:val="000000" w:themeColor="text1"/>
          <w:sz w:val="30"/>
          <w:szCs w:val="30"/>
          <w14:textFill>
            <w14:solidFill>
              <w14:schemeClr w14:val="tx1"/>
            </w14:solidFill>
          </w14:textFill>
        </w:rPr>
        <w:br w:type="page"/>
      </w:r>
      <w:r>
        <w:rPr>
          <w:rFonts w:eastAsia="黑体"/>
          <w:color w:val="000000" w:themeColor="text1"/>
          <w:szCs w:val="32"/>
          <w14:textFill>
            <w14:solidFill>
              <w14:schemeClr w14:val="tx1"/>
            </w14:solidFill>
          </w14:textFill>
        </w:rPr>
        <w:t>附件3</w:t>
      </w:r>
    </w:p>
    <w:p>
      <w:pPr>
        <w:spacing w:line="300" w:lineRule="auto"/>
        <w:jc w:val="center"/>
        <w:rPr>
          <w:rFonts w:ascii="微软简标宋" w:eastAsia="微软简标宋" w:cs="微软简标宋"/>
          <w:color w:val="000000" w:themeColor="text1"/>
          <w:sz w:val="44"/>
          <w:szCs w:val="44"/>
          <w14:textFill>
            <w14:solidFill>
              <w14:schemeClr w14:val="tx1"/>
            </w14:solidFill>
          </w14:textFill>
        </w:rPr>
      </w:pPr>
      <w:r>
        <w:rPr>
          <w:rFonts w:hint="eastAsia" w:ascii="微软简标宋" w:eastAsia="微软简标宋" w:cs="微软简标宋"/>
          <w:color w:val="000000" w:themeColor="text1"/>
          <w:sz w:val="44"/>
          <w:szCs w:val="44"/>
          <w14:textFill>
            <w14:solidFill>
              <w14:schemeClr w14:val="tx1"/>
            </w14:solidFill>
          </w14:textFill>
        </w:rPr>
        <w:t>工程变更明细表</w:t>
      </w:r>
    </w:p>
    <w:p>
      <w:pPr>
        <w:ind w:left="1715" w:hanging="1710" w:hangingChars="550"/>
        <w:jc w:val="left"/>
        <w:rPr>
          <w:rFonts w:ascii="华文中宋" w:eastAsia="华文中宋"/>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 xml:space="preserve">工程名称：                                     编号：                                         </w:t>
      </w:r>
      <w:r>
        <w:rPr>
          <w:rFonts w:hint="eastAsia" w:ascii="华文中宋" w:eastAsia="华文中宋"/>
          <w:b/>
          <w:color w:val="000000" w:themeColor="text1"/>
          <w:szCs w:val="21"/>
          <w14:textFill>
            <w14:solidFill>
              <w14:schemeClr w14:val="tx1"/>
            </w14:solidFill>
          </w14:textFill>
        </w:rPr>
        <w:t xml:space="preserve"> </w:t>
      </w:r>
    </w:p>
    <w:tbl>
      <w:tblPr>
        <w:tblStyle w:val="9"/>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155"/>
        <w:gridCol w:w="1021"/>
        <w:gridCol w:w="1275"/>
        <w:gridCol w:w="791"/>
        <w:gridCol w:w="485"/>
        <w:gridCol w:w="1348"/>
        <w:gridCol w:w="630"/>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2033"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变更项目名称</w:t>
            </w:r>
          </w:p>
        </w:tc>
        <w:tc>
          <w:tcPr>
            <w:tcW w:w="3087" w:type="dxa"/>
            <w:gridSpan w:val="3"/>
            <w:vAlign w:val="center"/>
          </w:tcPr>
          <w:p>
            <w:pPr>
              <w:jc w:val="center"/>
              <w:rPr>
                <w:rFonts w:ascii="宋体"/>
                <w:color w:val="000000" w:themeColor="text1"/>
                <w:sz w:val="30"/>
                <w:szCs w:val="30"/>
                <w14:textFill>
                  <w14:solidFill>
                    <w14:schemeClr w14:val="tx1"/>
                  </w14:solidFill>
                </w14:textFill>
              </w:rPr>
            </w:pPr>
          </w:p>
        </w:tc>
        <w:tc>
          <w:tcPr>
            <w:tcW w:w="1833"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承包单位</w:t>
            </w:r>
          </w:p>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（盖章）</w:t>
            </w:r>
          </w:p>
        </w:tc>
        <w:tc>
          <w:tcPr>
            <w:tcW w:w="2227" w:type="dxa"/>
            <w:gridSpan w:val="2"/>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9180" w:type="dxa"/>
            <w:gridSpan w:val="9"/>
            <w:vAlign w:val="center"/>
          </w:tcPr>
          <w:p>
            <w:pPr>
              <w:rPr>
                <w:rFonts w:ascii="宋体"/>
                <w:color w:val="000000" w:themeColor="text1"/>
                <w:sz w:val="30"/>
                <w:szCs w:val="30"/>
                <w14:textFill>
                  <w14:solidFill>
                    <w14:schemeClr w14:val="tx1"/>
                  </w14:solidFill>
                </w14:textFill>
              </w:rPr>
            </w:pPr>
            <w:r>
              <w:rPr>
                <w:rFonts w:hint="eastAsia" w:ascii="宋体"/>
                <w:color w:val="000000" w:themeColor="text1"/>
                <w:sz w:val="24"/>
                <w14:textFill>
                  <w14:solidFill>
                    <w14:schemeClr w14:val="tx1"/>
                  </w14:solidFill>
                </w14:textFill>
              </w:rPr>
              <w:t>变更原因及内容：见（    ）年第（     ）号工程变更申报审批表或工程洽商记录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序号</w:t>
            </w:r>
          </w:p>
        </w:tc>
        <w:tc>
          <w:tcPr>
            <w:tcW w:w="2176"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名称</w:t>
            </w:r>
          </w:p>
        </w:tc>
        <w:tc>
          <w:tcPr>
            <w:tcW w:w="1275"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单位</w:t>
            </w:r>
          </w:p>
        </w:tc>
        <w:tc>
          <w:tcPr>
            <w:tcW w:w="1276"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数量</w:t>
            </w:r>
          </w:p>
        </w:tc>
        <w:tc>
          <w:tcPr>
            <w:tcW w:w="1978"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造价估算（元）</w:t>
            </w:r>
          </w:p>
        </w:tc>
        <w:tc>
          <w:tcPr>
            <w:tcW w:w="1597"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1</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2</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3</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4</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5</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6</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7</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878" w:type="dxa"/>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合计</w:t>
            </w:r>
          </w:p>
        </w:tc>
        <w:tc>
          <w:tcPr>
            <w:tcW w:w="2176" w:type="dxa"/>
            <w:gridSpan w:val="2"/>
            <w:vAlign w:val="center"/>
          </w:tcPr>
          <w:p>
            <w:pPr>
              <w:jc w:val="center"/>
              <w:rPr>
                <w:rFonts w:ascii="宋体"/>
                <w:color w:val="000000" w:themeColor="text1"/>
                <w:sz w:val="30"/>
                <w:szCs w:val="30"/>
                <w14:textFill>
                  <w14:solidFill>
                    <w14:schemeClr w14:val="tx1"/>
                  </w14:solidFill>
                </w14:textFill>
              </w:rPr>
            </w:pPr>
          </w:p>
        </w:tc>
        <w:tc>
          <w:tcPr>
            <w:tcW w:w="1275" w:type="dxa"/>
            <w:vAlign w:val="center"/>
          </w:tcPr>
          <w:p>
            <w:pPr>
              <w:jc w:val="center"/>
              <w:rPr>
                <w:rFonts w:ascii="宋体"/>
                <w:color w:val="000000" w:themeColor="text1"/>
                <w:sz w:val="30"/>
                <w:szCs w:val="30"/>
                <w14:textFill>
                  <w14:solidFill>
                    <w14:schemeClr w14:val="tx1"/>
                  </w14:solidFill>
                </w14:textFill>
              </w:rPr>
            </w:pPr>
          </w:p>
        </w:tc>
        <w:tc>
          <w:tcPr>
            <w:tcW w:w="1276" w:type="dxa"/>
            <w:gridSpan w:val="2"/>
            <w:vAlign w:val="center"/>
          </w:tcPr>
          <w:p>
            <w:pPr>
              <w:jc w:val="center"/>
              <w:rPr>
                <w:rFonts w:ascii="宋体"/>
                <w:color w:val="000000" w:themeColor="text1"/>
                <w:sz w:val="30"/>
                <w:szCs w:val="30"/>
                <w14:textFill>
                  <w14:solidFill>
                    <w14:schemeClr w14:val="tx1"/>
                  </w14:solidFill>
                </w14:textFill>
              </w:rPr>
            </w:pPr>
          </w:p>
        </w:tc>
        <w:tc>
          <w:tcPr>
            <w:tcW w:w="1978" w:type="dxa"/>
            <w:gridSpan w:val="2"/>
            <w:vAlign w:val="center"/>
          </w:tcPr>
          <w:p>
            <w:pPr>
              <w:jc w:val="center"/>
              <w:rPr>
                <w:rFonts w:ascii="宋体"/>
                <w:color w:val="000000" w:themeColor="text1"/>
                <w:sz w:val="30"/>
                <w:szCs w:val="30"/>
                <w14:textFill>
                  <w14:solidFill>
                    <w14:schemeClr w14:val="tx1"/>
                  </w14:solidFill>
                </w14:textFill>
              </w:rPr>
            </w:pPr>
          </w:p>
        </w:tc>
        <w:tc>
          <w:tcPr>
            <w:tcW w:w="1597" w:type="dxa"/>
            <w:vAlign w:val="center"/>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trPr>
        <w:tc>
          <w:tcPr>
            <w:tcW w:w="4329" w:type="dxa"/>
            <w:gridSpan w:val="4"/>
          </w:tcPr>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承包单位技术负责人：</w:t>
            </w:r>
          </w:p>
          <w:p>
            <w:pPr>
              <w:ind w:firstLine="2439" w:firstLineChars="900"/>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年   月   日</w:t>
            </w:r>
          </w:p>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承包单位项目负责人：</w:t>
            </w:r>
          </w:p>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 xml:space="preserve">                   年  月  日</w:t>
            </w:r>
          </w:p>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（盖章）</w:t>
            </w:r>
          </w:p>
        </w:tc>
        <w:tc>
          <w:tcPr>
            <w:tcW w:w="4851" w:type="dxa"/>
            <w:gridSpan w:val="5"/>
          </w:tcPr>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监理审核意见：</w:t>
            </w:r>
          </w:p>
          <w:p>
            <w:pPr>
              <w:jc w:val="left"/>
              <w:rPr>
                <w:rFonts w:ascii="宋体"/>
                <w:color w:val="000000" w:themeColor="text1"/>
                <w:sz w:val="28"/>
                <w:szCs w:val="28"/>
                <w14:textFill>
                  <w14:solidFill>
                    <w14:schemeClr w14:val="tx1"/>
                  </w14:solidFill>
                </w14:textFill>
              </w:rPr>
            </w:pPr>
          </w:p>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监理工程师：          年  月  日</w:t>
            </w:r>
          </w:p>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总监理工程师：         年  月  日</w:t>
            </w:r>
          </w:p>
          <w:p>
            <w:pPr>
              <w:jc w:val="left"/>
              <w:rPr>
                <w:rFonts w:ascii="宋体"/>
                <w:color w:val="000000" w:themeColor="text1"/>
                <w:sz w:val="28"/>
                <w:szCs w:val="28"/>
                <w14:textFill>
                  <w14:solidFill>
                    <w14:schemeClr w14:val="tx1"/>
                  </w14:solidFill>
                </w14:textFill>
              </w:rPr>
            </w:pPr>
            <w:r>
              <w:rPr>
                <w:rFonts w:hint="eastAsia" w:ascii="宋体"/>
                <w:color w:val="000000" w:themeColor="text1"/>
                <w:sz w:val="28"/>
                <w:szCs w:val="28"/>
                <w14:textFill>
                  <w14:solidFill>
                    <w14:schemeClr w14:val="tx1"/>
                  </w14:solidFill>
                </w14:textFill>
              </w:rPr>
              <w:t>（盖章）</w:t>
            </w:r>
          </w:p>
        </w:tc>
      </w:tr>
    </w:tbl>
    <w:p>
      <w:pPr>
        <w:spacing w:line="300" w:lineRule="auto"/>
        <w:rPr>
          <w:rFonts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备注：本表由承包单位填写并由相关领导审批后连同项目有关材料等作为工程变更审核依据，最终实际工程量及造价以结算为准。若需补充工程量计量辅助材料请在表内注明清楚。</w:t>
      </w:r>
    </w:p>
    <w:p>
      <w:pPr>
        <w:spacing w:line="300" w:lineRule="auto"/>
        <w:rPr>
          <w:color w:val="000000" w:themeColor="text1"/>
          <w:sz w:val="15"/>
          <w:szCs w:val="15"/>
          <w14:textFill>
            <w14:solidFill>
              <w14:schemeClr w14:val="tx1"/>
            </w14:solidFill>
          </w14:textFill>
        </w:rPr>
      </w:pPr>
      <w:r>
        <w:rPr>
          <w:rFonts w:hint="eastAsia" w:ascii="宋体"/>
          <w:color w:val="000000" w:themeColor="text1"/>
          <w:sz w:val="28"/>
          <w:szCs w:val="28"/>
          <w14:textFill>
            <w14:solidFill>
              <w14:schemeClr w14:val="tx1"/>
            </w14:solidFill>
          </w14:textFill>
        </w:rPr>
        <w:br w:type="page"/>
      </w:r>
      <w:r>
        <w:rPr>
          <w:rFonts w:eastAsia="黑体"/>
          <w:color w:val="000000" w:themeColor="text1"/>
          <w:szCs w:val="32"/>
          <w14:textFill>
            <w14:solidFill>
              <w14:schemeClr w14:val="tx1"/>
            </w14:solidFill>
          </w14:textFill>
        </w:rPr>
        <w:t>附件4</w:t>
      </w:r>
    </w:p>
    <w:p>
      <w:pPr>
        <w:spacing w:line="300" w:lineRule="auto"/>
        <w:jc w:val="center"/>
        <w:rPr>
          <w:rFonts w:ascii="微软简标宋" w:eastAsia="微软简标宋" w:cs="微软简标宋"/>
          <w:color w:val="000000" w:themeColor="text1"/>
          <w:sz w:val="44"/>
          <w:szCs w:val="44"/>
          <w14:textFill>
            <w14:solidFill>
              <w14:schemeClr w14:val="tx1"/>
            </w14:solidFill>
          </w14:textFill>
        </w:rPr>
      </w:pPr>
      <w:r>
        <w:rPr>
          <w:rFonts w:hint="eastAsia" w:ascii="微软简标宋" w:eastAsia="微软简标宋" w:cs="微软简标宋"/>
          <w:color w:val="000000" w:themeColor="text1"/>
          <w:sz w:val="44"/>
          <w:szCs w:val="44"/>
          <w14:textFill>
            <w14:solidFill>
              <w14:schemeClr w14:val="tx1"/>
            </w14:solidFill>
          </w14:textFill>
        </w:rPr>
        <w:t>政府投资项目工程变更备案表</w:t>
      </w:r>
    </w:p>
    <w:p>
      <w:pP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建设单位名称                                    编号：</w:t>
      </w:r>
    </w:p>
    <w:tbl>
      <w:tblPr>
        <w:tblStyle w:val="9"/>
        <w:tblW w:w="1044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383"/>
        <w:gridCol w:w="1477"/>
        <w:gridCol w:w="1980"/>
        <w:gridCol w:w="3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3923"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项目名称（立项）</w:t>
            </w:r>
          </w:p>
        </w:tc>
        <w:tc>
          <w:tcPr>
            <w:tcW w:w="3457" w:type="dxa"/>
            <w:gridSpan w:val="2"/>
          </w:tcPr>
          <w:p>
            <w:pPr>
              <w:jc w:val="center"/>
              <w:rPr>
                <w:rFonts w:ascii="宋体"/>
                <w:color w:val="000000" w:themeColor="text1"/>
                <w:sz w:val="30"/>
                <w:szCs w:val="30"/>
                <w14:textFill>
                  <w14:solidFill>
                    <w14:schemeClr w14:val="tx1"/>
                  </w14:solidFill>
                </w14:textFill>
              </w:rPr>
            </w:pPr>
          </w:p>
        </w:tc>
        <w:tc>
          <w:tcPr>
            <w:tcW w:w="3060" w:type="dxa"/>
            <w:gridSpan w:val="2"/>
            <w:vAlign w:val="center"/>
          </w:tcPr>
          <w:p>
            <w:pP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立项总投资：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3923"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单项工程名称</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3923" w:type="dxa"/>
            <w:gridSpan w:val="2"/>
            <w:vAlign w:val="center"/>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本次变更额（预算）</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10440" w:type="dxa"/>
            <w:gridSpan w:val="6"/>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单项工程预算执行及变更情况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3923" w:type="dxa"/>
            <w:gridSpan w:val="2"/>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序号</w:t>
            </w:r>
          </w:p>
        </w:tc>
        <w:tc>
          <w:tcPr>
            <w:tcW w:w="6517" w:type="dxa"/>
            <w:gridSpan w:val="4"/>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540"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1</w:t>
            </w:r>
          </w:p>
        </w:tc>
        <w:tc>
          <w:tcPr>
            <w:tcW w:w="3383"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预算审定额</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40"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2</w:t>
            </w:r>
          </w:p>
        </w:tc>
        <w:tc>
          <w:tcPr>
            <w:tcW w:w="3383"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中标（或合同额）</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540"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3</w:t>
            </w:r>
          </w:p>
        </w:tc>
        <w:tc>
          <w:tcPr>
            <w:tcW w:w="3383"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预算余额（1-2）</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40"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4</w:t>
            </w:r>
          </w:p>
        </w:tc>
        <w:tc>
          <w:tcPr>
            <w:tcW w:w="3383"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累计变更（使用）额</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540" w:type="dxa"/>
          </w:tcPr>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5</w:t>
            </w:r>
          </w:p>
        </w:tc>
        <w:tc>
          <w:tcPr>
            <w:tcW w:w="3383" w:type="dxa"/>
          </w:tcPr>
          <w:p>
            <w:pPr>
              <w:jc w:val="left"/>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当前预算结余额（3-4）</w:t>
            </w:r>
          </w:p>
        </w:tc>
        <w:tc>
          <w:tcPr>
            <w:tcW w:w="6517" w:type="dxa"/>
            <w:gridSpan w:val="4"/>
          </w:tcPr>
          <w:p>
            <w:pPr>
              <w:jc w:val="center"/>
              <w:rPr>
                <w:rFonts w:ascii="宋体"/>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540" w:type="dxa"/>
          </w:tcPr>
          <w:p>
            <w:pPr>
              <w:jc w:val="center"/>
              <w:rPr>
                <w:rFonts w:ascii="宋体"/>
                <w:color w:val="000000" w:themeColor="text1"/>
                <w:szCs w:val="21"/>
                <w14:textFill>
                  <w14:solidFill>
                    <w14:schemeClr w14:val="tx1"/>
                  </w14:solidFill>
                </w14:textFill>
              </w:rPr>
            </w:pPr>
          </w:p>
        </w:tc>
        <w:tc>
          <w:tcPr>
            <w:tcW w:w="3383" w:type="dxa"/>
          </w:tcPr>
          <w:p>
            <w:pPr>
              <w:jc w:val="center"/>
              <w:rPr>
                <w:rFonts w:ascii="宋体"/>
                <w:color w:val="000000" w:themeColor="text1"/>
                <w:szCs w:val="21"/>
                <w14:textFill>
                  <w14:solidFill>
                    <w14:schemeClr w14:val="tx1"/>
                  </w14:solidFill>
                </w14:textFill>
              </w:rPr>
            </w:pPr>
          </w:p>
        </w:tc>
        <w:tc>
          <w:tcPr>
            <w:tcW w:w="6517" w:type="dxa"/>
            <w:gridSpan w:val="4"/>
          </w:tcPr>
          <w:p>
            <w:pPr>
              <w:jc w:val="cente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3923" w:type="dxa"/>
            <w:gridSpan w:val="2"/>
          </w:tcPr>
          <w:p>
            <w:pPr>
              <w:jc w:val="center"/>
              <w:rPr>
                <w:rFonts w:ascii="宋体"/>
                <w:color w:val="000000" w:themeColor="text1"/>
                <w:sz w:val="30"/>
                <w:szCs w:val="30"/>
                <w14:textFill>
                  <w14:solidFill>
                    <w14:schemeClr w14:val="tx1"/>
                  </w14:solidFill>
                </w14:textFill>
              </w:rPr>
            </w:pPr>
          </w:p>
          <w:p>
            <w:pPr>
              <w:jc w:val="center"/>
              <w:rPr>
                <w:rFonts w:ascii="宋体"/>
                <w:color w:val="000000" w:themeColor="text1"/>
                <w:sz w:val="30"/>
                <w:szCs w:val="30"/>
                <w14:textFill>
                  <w14:solidFill>
                    <w14:schemeClr w14:val="tx1"/>
                  </w14:solidFill>
                </w14:textFill>
              </w:rPr>
            </w:pPr>
          </w:p>
          <w:p>
            <w:pPr>
              <w:jc w:val="cente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建设单位意见</w:t>
            </w:r>
          </w:p>
        </w:tc>
        <w:tc>
          <w:tcPr>
            <w:tcW w:w="6517" w:type="dxa"/>
            <w:gridSpan w:val="4"/>
          </w:tcPr>
          <w:p>
            <w:pPr>
              <w:rPr>
                <w:rFonts w:ascii="宋体"/>
                <w:color w:val="000000" w:themeColor="text1"/>
                <w:sz w:val="30"/>
                <w:szCs w:val="30"/>
                <w14:textFill>
                  <w14:solidFill>
                    <w14:schemeClr w14:val="tx1"/>
                  </w14:solidFill>
                </w14:textFill>
              </w:rPr>
            </w:pPr>
          </w:p>
          <w:p>
            <w:pPr>
              <w:rPr>
                <w:rFonts w:ascii="宋体"/>
                <w:color w:val="000000" w:themeColor="text1"/>
                <w:sz w:val="30"/>
                <w:szCs w:val="30"/>
                <w14:textFill>
                  <w14:solidFill>
                    <w14:schemeClr w14:val="tx1"/>
                  </w14:solidFill>
                </w14:textFill>
              </w:rPr>
            </w:pPr>
          </w:p>
          <w:p>
            <w:pP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负责人：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3923" w:type="dxa"/>
            <w:gridSpan w:val="2"/>
          </w:tcPr>
          <w:p>
            <w:pP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镇主管单位意见</w:t>
            </w:r>
          </w:p>
        </w:tc>
        <w:tc>
          <w:tcPr>
            <w:tcW w:w="1477" w:type="dxa"/>
          </w:tcPr>
          <w:p>
            <w:pPr>
              <w:jc w:val="center"/>
              <w:rPr>
                <w:rFonts w:ascii="宋体"/>
                <w:color w:val="000000" w:themeColor="text1"/>
                <w:sz w:val="30"/>
                <w:szCs w:val="30"/>
                <w14:textFill>
                  <w14:solidFill>
                    <w14:schemeClr w14:val="tx1"/>
                  </w14:solidFill>
                </w14:textFill>
              </w:rPr>
            </w:pPr>
          </w:p>
        </w:tc>
        <w:tc>
          <w:tcPr>
            <w:tcW w:w="2340" w:type="dxa"/>
            <w:gridSpan w:val="2"/>
          </w:tcPr>
          <w:p>
            <w:pPr>
              <w:rPr>
                <w:rFonts w:ascii="宋体"/>
                <w:color w:val="000000" w:themeColor="text1"/>
                <w:sz w:val="30"/>
                <w:szCs w:val="30"/>
                <w14:textFill>
                  <w14:solidFill>
                    <w14:schemeClr w14:val="tx1"/>
                  </w14:solidFill>
                </w14:textFill>
              </w:rPr>
            </w:pPr>
            <w:r>
              <w:rPr>
                <w:rFonts w:hint="eastAsia" w:ascii="宋体"/>
                <w:color w:val="000000" w:themeColor="text1"/>
                <w:sz w:val="30"/>
                <w:szCs w:val="30"/>
                <w14:textFill>
                  <w14:solidFill>
                    <w14:schemeClr w14:val="tx1"/>
                  </w14:solidFill>
                </w14:textFill>
              </w:rPr>
              <w:t>镇财政分局意见</w:t>
            </w:r>
          </w:p>
        </w:tc>
        <w:tc>
          <w:tcPr>
            <w:tcW w:w="2700" w:type="dxa"/>
          </w:tcPr>
          <w:p>
            <w:pPr>
              <w:jc w:val="center"/>
              <w:rPr>
                <w:rFonts w:ascii="宋体"/>
                <w:color w:val="000000" w:themeColor="text1"/>
                <w:sz w:val="30"/>
                <w:szCs w:val="30"/>
                <w14:textFill>
                  <w14:solidFill>
                    <w14:schemeClr w14:val="tx1"/>
                  </w14:solidFill>
                </w14:textFill>
              </w:rPr>
            </w:pPr>
          </w:p>
        </w:tc>
      </w:tr>
    </w:tbl>
    <w:p>
      <w:pPr>
        <w:spacing w:line="36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填表说明：</w:t>
      </w:r>
    </w:p>
    <w:p>
      <w:pPr>
        <w:numPr>
          <w:ilvl w:val="0"/>
          <w:numId w:val="1"/>
        </w:numPr>
        <w:spacing w:line="36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本表以建设单位作为申请主体报送该表，同时需附广东省建设厅要求的规范表格：变更指令表、工程变更申报表及其他资料。</w:t>
      </w:r>
    </w:p>
    <w:p>
      <w:pPr>
        <w:numPr>
          <w:ilvl w:val="0"/>
          <w:numId w:val="1"/>
        </w:numPr>
        <w:spacing w:line="360" w:lineRule="exac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项目名称指立项名称，工程名称为子项目名称，如“中心小学综合楼工程土建及安装工程”，该工程变更应依序编号。</w:t>
      </w:r>
    </w:p>
    <w:p>
      <w:pPr>
        <w:numPr>
          <w:ilvl w:val="0"/>
          <w:numId w:val="1"/>
        </w:numPr>
        <w:spacing w:line="360" w:lineRule="exact"/>
      </w:pPr>
      <w:r>
        <w:rPr>
          <w:rFonts w:hint="eastAsia"/>
          <w:color w:val="000000" w:themeColor="text1"/>
          <w:sz w:val="28"/>
          <w:szCs w:val="28"/>
          <w14:textFill>
            <w14:solidFill>
              <w14:schemeClr w14:val="tx1"/>
            </w14:solidFill>
          </w14:textFill>
        </w:rPr>
        <w:t>本表由建设单位填写，一式四份，审批后连同项目变更预算资料、有关会议纪要、补充协议等作为工程结算审核</w:t>
      </w:r>
      <w:r>
        <w:rPr>
          <w:rFonts w:hint="eastAsia"/>
          <w:sz w:val="28"/>
          <w:szCs w:val="28"/>
        </w:rPr>
        <w:t>依据。</w:t>
      </w:r>
    </w:p>
    <w:sectPr>
      <w:footerReference r:id="rId3" w:type="default"/>
      <w:footerReference r:id="rId4" w:type="even"/>
      <w:pgSz w:w="11906" w:h="16838"/>
      <w:pgMar w:top="1587" w:right="1588" w:bottom="1587" w:left="1588" w:header="1588" w:footer="1701" w:gutter="0"/>
      <w:cols w:space="0" w:num="1"/>
      <w:docGrid w:type="linesAndChars" w:linePitch="574" w:charSpace="7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创艺简标宋">
    <w:panose1 w:val="00000000000000000000"/>
    <w:charset w:val="00"/>
    <w:family w:val="auto"/>
    <w:pitch w:val="default"/>
    <w:sig w:usb0="00000000" w:usb1="00000000" w:usb2="00000000" w:usb3="00000000" w:csb0="00000000" w:csb1="00000000"/>
  </w:font>
  <w:font w:name="微软雅黑">
    <w:panose1 w:val="020B0503020204020204"/>
    <w:charset w:val="86"/>
    <w:family w:val="roman"/>
    <w:pitch w:val="default"/>
    <w:sig w:usb0="80000287" w:usb1="280F3C52" w:usb2="00000016" w:usb3="00000000" w:csb0="0004001F" w:csb1="00000000"/>
  </w:font>
  <w:font w:name="微软简标宋">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5SCY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0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krlIJhoCAAAhBAAADgAA&#10;AAAAAAABACAAAAAfAQAAZHJzL2Uyb0RvYy54bWxQSwUGAAAAAAYABgBZAQAAq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02AE1"/>
    <w:multiLevelType w:val="multilevel"/>
    <w:tmpl w:val="68402AE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F1703"/>
    <w:rsid w:val="00026CDB"/>
    <w:rsid w:val="000F2DEE"/>
    <w:rsid w:val="00114CD6"/>
    <w:rsid w:val="00145AF0"/>
    <w:rsid w:val="001B16C5"/>
    <w:rsid w:val="001B7252"/>
    <w:rsid w:val="001F74D5"/>
    <w:rsid w:val="002831FE"/>
    <w:rsid w:val="002E6D35"/>
    <w:rsid w:val="003006D7"/>
    <w:rsid w:val="00364F46"/>
    <w:rsid w:val="003912AF"/>
    <w:rsid w:val="003E46D0"/>
    <w:rsid w:val="003F5020"/>
    <w:rsid w:val="004173FB"/>
    <w:rsid w:val="004E36B3"/>
    <w:rsid w:val="00530518"/>
    <w:rsid w:val="005C4E63"/>
    <w:rsid w:val="006D1407"/>
    <w:rsid w:val="007313AF"/>
    <w:rsid w:val="008D12B0"/>
    <w:rsid w:val="008F696F"/>
    <w:rsid w:val="009A2204"/>
    <w:rsid w:val="009A6851"/>
    <w:rsid w:val="00A6775B"/>
    <w:rsid w:val="00A870D0"/>
    <w:rsid w:val="00AB655F"/>
    <w:rsid w:val="00B62EB5"/>
    <w:rsid w:val="00BF20AD"/>
    <w:rsid w:val="00C115A3"/>
    <w:rsid w:val="00C67F07"/>
    <w:rsid w:val="00C73B7C"/>
    <w:rsid w:val="00C741CA"/>
    <w:rsid w:val="00C85420"/>
    <w:rsid w:val="00CF7B90"/>
    <w:rsid w:val="00DE40B6"/>
    <w:rsid w:val="00E21618"/>
    <w:rsid w:val="00E24392"/>
    <w:rsid w:val="00EC4A99"/>
    <w:rsid w:val="00EF7FA6"/>
    <w:rsid w:val="00F026E2"/>
    <w:rsid w:val="00F30E48"/>
    <w:rsid w:val="00F74CA4"/>
    <w:rsid w:val="00FC311F"/>
    <w:rsid w:val="00FE1709"/>
    <w:rsid w:val="034A2CE8"/>
    <w:rsid w:val="055C5628"/>
    <w:rsid w:val="07514E2C"/>
    <w:rsid w:val="07CB11D2"/>
    <w:rsid w:val="099E3E7B"/>
    <w:rsid w:val="133C7E4D"/>
    <w:rsid w:val="164F1703"/>
    <w:rsid w:val="17957AAA"/>
    <w:rsid w:val="17CB07BF"/>
    <w:rsid w:val="1872179E"/>
    <w:rsid w:val="1C853B64"/>
    <w:rsid w:val="20DA2A41"/>
    <w:rsid w:val="222B24E0"/>
    <w:rsid w:val="22657202"/>
    <w:rsid w:val="26810699"/>
    <w:rsid w:val="289C0F5C"/>
    <w:rsid w:val="29030CA1"/>
    <w:rsid w:val="2F7C5FA4"/>
    <w:rsid w:val="331C7168"/>
    <w:rsid w:val="350A070D"/>
    <w:rsid w:val="3DE210A1"/>
    <w:rsid w:val="3E320D18"/>
    <w:rsid w:val="3E750B31"/>
    <w:rsid w:val="4649042C"/>
    <w:rsid w:val="490A7846"/>
    <w:rsid w:val="4B8F16FB"/>
    <w:rsid w:val="4BD14713"/>
    <w:rsid w:val="4FE74D66"/>
    <w:rsid w:val="53D978DA"/>
    <w:rsid w:val="576E7588"/>
    <w:rsid w:val="5797194A"/>
    <w:rsid w:val="59B0350B"/>
    <w:rsid w:val="5E0E2604"/>
    <w:rsid w:val="615A72AF"/>
    <w:rsid w:val="62564861"/>
    <w:rsid w:val="66F360FC"/>
    <w:rsid w:val="6E0906CF"/>
    <w:rsid w:val="7128571E"/>
    <w:rsid w:val="7B1E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LineNumbers/>
      <w:adjustRightInd w:val="0"/>
      <w:snapToGrid w:val="0"/>
      <w:spacing w:line="574" w:lineRule="exact"/>
      <w:jc w:val="both"/>
    </w:pPr>
    <w:rPr>
      <w:rFonts w:ascii="仿宋_GB2312" w:hAnsi="Times New Roman" w:eastAsia="仿宋_GB2312" w:cs="Times New Roman"/>
      <w:snapToGrid w:val="0"/>
      <w:spacing w:val="-6"/>
      <w:kern w:val="32"/>
      <w:sz w:val="32"/>
      <w:szCs w:val="24"/>
      <w:lang w:val="en-US" w:eastAsia="zh-CN" w:bidi="ar-SA"/>
    </w:rPr>
  </w:style>
  <w:style w:type="paragraph" w:styleId="2">
    <w:name w:val="heading 2"/>
    <w:basedOn w:val="1"/>
    <w:next w:val="1"/>
    <w:qFormat/>
    <w:uiPriority w:val="0"/>
    <w:pPr>
      <w:widowControl/>
      <w:spacing w:before="260" w:beforeLines="0" w:after="260" w:afterLines="0" w:line="413" w:lineRule="auto"/>
      <w:outlineLvl w:val="1"/>
    </w:pPr>
    <w:rPr>
      <w:rFonts w:ascii="Arial" w:hAnsi="Arial" w:cs="Arial"/>
      <w:b/>
      <w:bCs/>
      <w:kern w:val="0"/>
      <w:sz w:val="32"/>
      <w:szCs w:val="32"/>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eastAsia="宋体"/>
    </w:rPr>
  </w:style>
  <w:style w:type="paragraph" w:styleId="4">
    <w:name w:val="footer"/>
    <w:basedOn w:val="1"/>
    <w:qFormat/>
    <w:uiPriority w:val="0"/>
    <w:pPr>
      <w:tabs>
        <w:tab w:val="center" w:pos="4153"/>
        <w:tab w:val="right" w:pos="8306"/>
      </w:tabs>
      <w:spacing w:line="240" w:lineRule="atLeast"/>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6">
    <w:name w:val="Normal (Web)"/>
    <w:basedOn w:val="1"/>
    <w:unhideWhenUsed/>
    <w:qFormat/>
    <w:uiPriority w:val="99"/>
    <w:pPr>
      <w:widowControl/>
      <w:suppressLineNumbers w:val="0"/>
      <w:adjustRightInd/>
      <w:snapToGrid/>
      <w:spacing w:before="100" w:beforeAutospacing="1" w:after="100" w:afterAutospacing="1" w:line="240" w:lineRule="auto"/>
      <w:jc w:val="left"/>
    </w:pPr>
    <w:rPr>
      <w:rFonts w:ascii="宋体" w:hAnsi="宋体" w:eastAsia="宋体" w:cs="宋体"/>
      <w:snapToGrid/>
      <w:spacing w:val="0"/>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2301</Words>
  <Characters>13122</Characters>
  <Lines>109</Lines>
  <Paragraphs>30</Paragraphs>
  <TotalTime>2</TotalTime>
  <ScaleCrop>false</ScaleCrop>
  <LinksUpToDate>false</LinksUpToDate>
  <CharactersWithSpaces>15393</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2021-05-19T00:11:00Z</dcterms:created>
  <dc:creator>冬冬</dc:creator>
  <cp:lastModifiedBy>林伟健</cp:lastModifiedBy>
  <cp:lastPrinted>2021-05-19T00:42:00Z</cp:lastPrinted>
  <dcterms:modified xsi:type="dcterms:W3CDTF">2021-05-24T07:27:20Z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0461CBAC93DC49D0934B3C7E8D599663</vt:lpwstr>
  </property>
</Properties>
</file>