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29" w:type="dxa"/>
        <w:jc w:val="center"/>
        <w:tblInd w:w="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35"/>
        <w:gridCol w:w="663"/>
        <w:gridCol w:w="2277"/>
        <w:gridCol w:w="1950"/>
        <w:gridCol w:w="1245"/>
        <w:gridCol w:w="1394"/>
        <w:gridCol w:w="1410"/>
        <w:gridCol w:w="780"/>
        <w:gridCol w:w="660"/>
        <w:gridCol w:w="585"/>
        <w:gridCol w:w="435"/>
        <w:gridCol w:w="585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和载体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7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val="en-US" w:eastAsia="zh-CN"/>
              </w:rPr>
              <w:t>镇(街)级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  <w:t>社区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val="en-US" w:eastAsia="zh-CN"/>
              </w:rPr>
              <w:t>(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  <w:t>村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val="en-US" w:eastAsia="zh-CN"/>
              </w:rPr>
              <w:t>)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政民互动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区控制性详细规划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的意见征集、咨询等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市自然资源局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■公开查阅点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6E65"/>
    <w:rsid w:val="2C136E65"/>
    <w:rsid w:val="38833DA2"/>
    <w:rsid w:val="4BE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2020-12-21T02:11:00Z</dcterms:created>
  <dc:creator>信息中心</dc:creator>
  <cp:lastModifiedBy>信息中心</cp:lastModifiedBy>
  <dcterms:modified xsi:type="dcterms:W3CDTF">2020-12-21T02:12:52Z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