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4227" w:type="dxa"/>
        <w:jc w:val="center"/>
        <w:tblInd w:w="-46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432"/>
        <w:gridCol w:w="1044"/>
        <w:gridCol w:w="1305"/>
        <w:gridCol w:w="2040"/>
        <w:gridCol w:w="1545"/>
        <w:gridCol w:w="1620"/>
        <w:gridCol w:w="1590"/>
        <w:gridCol w:w="1125"/>
        <w:gridCol w:w="735"/>
        <w:gridCol w:w="555"/>
        <w:gridCol w:w="645"/>
        <w:gridCol w:w="660"/>
        <w:gridCol w:w="405"/>
        <w:gridCol w:w="5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600" w:hRule="atLeast"/>
          <w:jc w:val="center"/>
        </w:trPr>
        <w:tc>
          <w:tcPr>
            <w:tcW w:w="4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bookmarkStart w:id="0" w:name="_GoBack"/>
            <w:r>
              <w:rPr>
                <w:rFonts w:hint="eastAsia" w:ascii="黑体" w:hAnsi="黑体" w:eastAsia="黑体" w:cs="黑体"/>
                <w:b w:val="0"/>
                <w:bCs/>
                <w:i w:val="0"/>
                <w:color w:val="000000"/>
                <w:kern w:val="0"/>
                <w:sz w:val="22"/>
                <w:szCs w:val="22"/>
                <w:u w:val="none"/>
                <w:lang w:val="en-US" w:eastAsia="zh-CN" w:bidi="ar"/>
              </w:rPr>
              <w:t>序号</w:t>
            </w:r>
          </w:p>
        </w:tc>
        <w:tc>
          <w:tcPr>
            <w:tcW w:w="2349"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公开事项</w:t>
            </w:r>
          </w:p>
        </w:tc>
        <w:tc>
          <w:tcPr>
            <w:tcW w:w="204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公开内容</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公开依据</w:t>
            </w:r>
          </w:p>
        </w:tc>
        <w:tc>
          <w:tcPr>
            <w:tcW w:w="162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公开</w:t>
            </w:r>
            <w:r>
              <w:rPr>
                <w:rFonts w:hint="eastAsia" w:ascii="黑体" w:hAnsi="黑体" w:eastAsia="黑体" w:cs="黑体"/>
                <w:b w:val="0"/>
                <w:bCs/>
                <w:i w:val="0"/>
                <w:color w:val="000000"/>
                <w:kern w:val="0"/>
                <w:sz w:val="22"/>
                <w:szCs w:val="22"/>
                <w:u w:val="none"/>
                <w:lang w:val="en-US" w:eastAsia="zh-CN" w:bidi="ar"/>
              </w:rPr>
              <w:br w:type="textWrapping"/>
            </w:r>
            <w:r>
              <w:rPr>
                <w:rFonts w:hint="eastAsia" w:ascii="黑体" w:hAnsi="黑体" w:eastAsia="黑体" w:cs="黑体"/>
                <w:b w:val="0"/>
                <w:bCs/>
                <w:i w:val="0"/>
                <w:color w:val="000000"/>
                <w:kern w:val="0"/>
                <w:sz w:val="22"/>
                <w:szCs w:val="22"/>
                <w:u w:val="none"/>
                <w:lang w:val="en-US" w:eastAsia="zh-CN" w:bidi="ar"/>
              </w:rPr>
              <w:t>时限</w:t>
            </w:r>
          </w:p>
        </w:tc>
        <w:tc>
          <w:tcPr>
            <w:tcW w:w="1590"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公开</w:t>
            </w:r>
            <w:r>
              <w:rPr>
                <w:rFonts w:hint="eastAsia" w:ascii="黑体" w:hAnsi="黑体" w:eastAsia="黑体" w:cs="黑体"/>
                <w:b w:val="0"/>
                <w:bCs/>
                <w:i w:val="0"/>
                <w:color w:val="000000"/>
                <w:kern w:val="0"/>
                <w:sz w:val="22"/>
                <w:szCs w:val="22"/>
                <w:u w:val="none"/>
                <w:lang w:val="en-US" w:eastAsia="zh-CN" w:bidi="ar"/>
              </w:rPr>
              <w:br w:type="textWrapping"/>
            </w:r>
            <w:r>
              <w:rPr>
                <w:rFonts w:hint="eastAsia" w:ascii="黑体" w:hAnsi="黑体" w:eastAsia="黑体" w:cs="黑体"/>
                <w:b w:val="0"/>
                <w:bCs/>
                <w:i w:val="0"/>
                <w:color w:val="000000"/>
                <w:kern w:val="0"/>
                <w:sz w:val="22"/>
                <w:szCs w:val="22"/>
                <w:u w:val="none"/>
                <w:lang w:val="en-US" w:eastAsia="zh-CN" w:bidi="ar"/>
              </w:rPr>
              <w:t>主体</w:t>
            </w:r>
          </w:p>
        </w:tc>
        <w:tc>
          <w:tcPr>
            <w:tcW w:w="1125"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val="0"/>
                <w:bCs/>
                <w:i w:val="0"/>
                <w:color w:val="000000"/>
                <w:kern w:val="0"/>
                <w:sz w:val="22"/>
                <w:szCs w:val="22"/>
                <w:u w:val="none"/>
                <w:lang w:val="en-US" w:eastAsia="zh-CN" w:bidi="ar"/>
              </w:rPr>
            </w:pPr>
            <w:r>
              <w:rPr>
                <w:rFonts w:hint="eastAsia" w:ascii="黑体" w:hAnsi="黑体" w:eastAsia="黑体" w:cs="黑体"/>
                <w:b w:val="0"/>
                <w:bCs/>
                <w:i w:val="0"/>
                <w:color w:val="000000"/>
                <w:kern w:val="0"/>
                <w:sz w:val="22"/>
                <w:szCs w:val="22"/>
                <w:u w:val="none"/>
                <w:lang w:val="en-US" w:eastAsia="zh-CN" w:bidi="ar"/>
              </w:rPr>
              <w:t>公开渠道</w:t>
            </w:r>
          </w:p>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和载体</w:t>
            </w:r>
          </w:p>
        </w:tc>
        <w:tc>
          <w:tcPr>
            <w:tcW w:w="1290"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公开对象</w:t>
            </w:r>
          </w:p>
        </w:tc>
        <w:tc>
          <w:tcPr>
            <w:tcW w:w="130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公开方式</w:t>
            </w:r>
          </w:p>
        </w:tc>
        <w:tc>
          <w:tcPr>
            <w:tcW w:w="93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555"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黑体" w:eastAsia="黑体" w:cs="黑体"/>
                <w:b w:val="0"/>
                <w:bCs/>
                <w:i w:val="0"/>
                <w:color w:val="000000"/>
                <w:sz w:val="22"/>
                <w:szCs w:val="22"/>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val="0"/>
                <w:bCs/>
                <w:i w:val="0"/>
                <w:color w:val="000000"/>
                <w:kern w:val="0"/>
                <w:sz w:val="22"/>
                <w:szCs w:val="22"/>
                <w:u w:val="none"/>
                <w:lang w:val="en-US" w:eastAsia="zh-CN" w:bidi="ar"/>
              </w:rPr>
            </w:pPr>
            <w:r>
              <w:rPr>
                <w:rFonts w:hint="eastAsia" w:ascii="黑体" w:hAnsi="黑体" w:eastAsia="黑体" w:cs="黑体"/>
                <w:b w:val="0"/>
                <w:bCs/>
                <w:i w:val="0"/>
                <w:color w:val="000000"/>
                <w:kern w:val="0"/>
                <w:sz w:val="22"/>
                <w:szCs w:val="22"/>
                <w:u w:val="none"/>
                <w:lang w:val="en-US" w:eastAsia="zh-CN" w:bidi="ar"/>
              </w:rPr>
              <w:t>一级</w:t>
            </w:r>
          </w:p>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事项</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val="0"/>
                <w:bCs/>
                <w:i w:val="0"/>
                <w:color w:val="000000"/>
                <w:kern w:val="0"/>
                <w:sz w:val="22"/>
                <w:szCs w:val="22"/>
                <w:u w:val="none"/>
                <w:lang w:val="en-US" w:eastAsia="zh-CN" w:bidi="ar"/>
              </w:rPr>
            </w:pPr>
            <w:r>
              <w:rPr>
                <w:rFonts w:hint="eastAsia" w:ascii="黑体" w:hAnsi="黑体" w:eastAsia="黑体" w:cs="黑体"/>
                <w:b w:val="0"/>
                <w:bCs/>
                <w:i w:val="0"/>
                <w:color w:val="000000"/>
                <w:kern w:val="0"/>
                <w:sz w:val="22"/>
                <w:szCs w:val="22"/>
                <w:u w:val="none"/>
                <w:lang w:val="en-US" w:eastAsia="zh-CN" w:bidi="ar"/>
              </w:rPr>
              <w:t>二级</w:t>
            </w:r>
          </w:p>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事项</w:t>
            </w:r>
          </w:p>
        </w:tc>
        <w:tc>
          <w:tcPr>
            <w:tcW w:w="204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黑体" w:eastAsia="黑体" w:cs="黑体"/>
                <w:b w:val="0"/>
                <w:bCs/>
                <w:i w:val="0"/>
                <w:color w:val="000000"/>
                <w:sz w:val="22"/>
                <w:szCs w:val="22"/>
                <w:u w:val="none"/>
              </w:rPr>
            </w:pPr>
          </w:p>
        </w:tc>
        <w:tc>
          <w:tcPr>
            <w:tcW w:w="1545"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黑体" w:eastAsia="黑体" w:cs="黑体"/>
                <w:b w:val="0"/>
                <w:bCs/>
                <w:i w:val="0"/>
                <w:color w:val="000000"/>
                <w:sz w:val="22"/>
                <w:szCs w:val="22"/>
                <w:u w:val="none"/>
              </w:rPr>
            </w:pPr>
          </w:p>
        </w:tc>
        <w:tc>
          <w:tcPr>
            <w:tcW w:w="162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黑体" w:eastAsia="黑体" w:cs="黑体"/>
                <w:b w:val="0"/>
                <w:bCs/>
                <w:i w:val="0"/>
                <w:color w:val="000000"/>
                <w:sz w:val="22"/>
                <w:szCs w:val="22"/>
                <w:u w:val="none"/>
              </w:rPr>
            </w:pPr>
          </w:p>
        </w:tc>
        <w:tc>
          <w:tcPr>
            <w:tcW w:w="159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黑体" w:hAnsi="黑体" w:eastAsia="黑体" w:cs="黑体"/>
                <w:b w:val="0"/>
                <w:bCs/>
                <w:i w:val="0"/>
                <w:color w:val="000000"/>
                <w:sz w:val="22"/>
                <w:szCs w:val="22"/>
                <w:u w:val="none"/>
              </w:rPr>
            </w:pPr>
          </w:p>
        </w:tc>
        <w:tc>
          <w:tcPr>
            <w:tcW w:w="1125"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hint="eastAsia" w:ascii="黑体" w:hAnsi="黑体" w:eastAsia="黑体" w:cs="黑体"/>
                <w:b w:val="0"/>
                <w:bCs/>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全社会</w:t>
            </w:r>
          </w:p>
        </w:tc>
        <w:tc>
          <w:tcPr>
            <w:tcW w:w="55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特定群体</w:t>
            </w: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主动公开</w:t>
            </w:r>
          </w:p>
        </w:tc>
        <w:tc>
          <w:tcPr>
            <w:tcW w:w="6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依申请公开</w:t>
            </w: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市级</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黑体" w:hAnsi="黑体" w:eastAsia="黑体" w:cs="黑体"/>
                <w:b w:val="0"/>
                <w:bCs/>
                <w:i w:val="0"/>
                <w:color w:val="000000"/>
                <w:sz w:val="22"/>
                <w:szCs w:val="22"/>
                <w:u w:val="none"/>
              </w:rPr>
            </w:pPr>
            <w:r>
              <w:rPr>
                <w:rFonts w:hint="eastAsia" w:ascii="黑体" w:hAnsi="黑体" w:eastAsia="黑体" w:cs="黑体"/>
                <w:b w:val="0"/>
                <w:bCs/>
                <w:i w:val="0"/>
                <w:color w:val="000000"/>
                <w:kern w:val="0"/>
                <w:sz w:val="22"/>
                <w:szCs w:val="22"/>
                <w:u w:val="none"/>
                <w:lang w:val="en-US" w:eastAsia="zh-CN" w:bidi="ar"/>
              </w:rPr>
              <w:t>镇（街）级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96" w:hRule="atLeast"/>
          <w:jc w:val="center"/>
        </w:trPr>
        <w:tc>
          <w:tcPr>
            <w:tcW w:w="4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w:t>
            </w: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市政公用管理</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擅自使用未经验收或者验收不合格的城市道路</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《城市道路管理条例》</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81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市政公用管理</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未对设在城市道路上的各种管线的检查井、箱盖或者城市道路附属设施的缺损及时补缺或者修复</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《城市道路管理条例》</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9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市政公用管理</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未在城市道路施工现场设置明显标志和安全防围设施</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《城市道路管理条例》</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9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市政公用管理</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占用城市道路期满或者挖掘城市道路后，不及时清理现场</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《城市道路管理条例》</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9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市政公用管理</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依附于城市道路建设各种管线、杆线等设施，不按照规定办理批准手续</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《城市道路管理条例》</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9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市政公用管理</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紧急抢修埋设在城市道路下的管线，不按照规定补办批准手续</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《城市道路管理条例》</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9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市政公用管理</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未按照批准的位置、面积、期限占用或者挖掘城市道路，或者需要移动位置、扩大面积、延长时间，未提前办理变更审批手续</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《城市道路管理条例》</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9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市政公用管理</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擅自占用或者挖掘城市道路</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《城市道路管理条例》</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9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市政公用管理</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擅自在城市道路上建设建筑物、构筑物</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《城市道路管理条例》</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9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市政公用管理</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在桥梁上架设压力在4公斤/平方厘米（0.4兆帕）以上的煤气管道、10千伏以上的高压电力线和其他易燃易爆管线</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《城市道路管理条例》</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9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市政公用管理</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擅自在桥梁或者路灯设施上设置广告牌或者其他挂浮物</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《城市道路管理条例》</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9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市政公用管理</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其他损害、侵占城市道路的行为</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《城市道路管理条例》</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9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市政公用管理</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在城市景观照明中有过度照明等超能耗标准行为</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《城市照明管理规定》</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9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市政公用管理</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在城市照明设施上刻划、涂污</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《城市照明管理规定》</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9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市政公用管理</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在城市照明设施安全距离内，擅自植树、挖坑取土或者设置其他物体，或者倾倒含酸、碱、盐等腐蚀物或者具有腐蚀性的废渣、废液</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《城市照明管理规定》</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9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市政公用管理</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擅自在城市照明设施上张贴、悬挂、设置宣传品、广告</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《城市照明管理规定》</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9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市政公用管理</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擅自在城市照明设施上架设线缆、安置其它设施或者接用电源</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《城市照明管理规定》</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9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市政公用管理</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擅自迁移、拆除、利用城市照明设施</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《城市照明管理规定》</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9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市政公用管理</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其他可能影响城市照明设施正常运行的行为</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《城市照明管理规定》</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9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市政公用管理</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建设单位未移交地下管线工程档案</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《城市地下管线工程档案管理办法》</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9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市政公用管理</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地下管线专业管理单位未移交地下管线工程档案</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《城市地下管线工程档案管理办法》</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9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市政公用管理</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城市桥梁产权人或者委托管理人未按照规定编制城市桥梁养护维修的中长期规划和年度计划，或者未经批准即实施</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《城市桥梁检测和养护维修管理办</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法》</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9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市政公用管理</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城市桥梁产权人或者委托管理人未按照规定设置相应的标志，并保持其完好、清晰</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《城市桥梁检测和养护维修管理办</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法》</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9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市政公用管理</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城市桥梁产权人或者委托管理人未按照规定委托具有相应资格的机构对城市桥梁进行检测评估</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《城市桥梁检测和养护维修管理办</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法》</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9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市政公用管理</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城市桥梁产权人或者委托管理人未按照规定制定城市桥梁的安全抢险预备方案</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《城市桥梁检测和养护维修管理办</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法》</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9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市政公用管理</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城市桥梁产权人或者委托管理人未按照规定对城市桥梁进行养护维修</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《城市桥梁检测和养护维修管理办</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法》</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9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市政公用管理</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单位或者个人擅自在城市桥梁上架设各类管线、设置广告等辅助物</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《城市桥梁检测和养护维修管理办</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法》</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79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市政公用管理</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超限机动车辆、履带车、铁轮车等需经过城市桥梁的，在报公安交通管理部门审批前，未先经城市人民政府市政工程设施行政主管部门同意，或未采取相应技术措施就通行</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《城市桥梁检测和养护维修管理办</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法》</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379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市政公用管理</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经过检测评估，确定城市桥梁的承载能力下降，但尚未构成危桥的，城市桥梁产权人和委托管理人未及时设置警示标志，或未立即采取加固等安全措施</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《城市桥梁检测和养护维修管理办</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法》</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499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市政公用管理</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经检测评估判定为危桥的，城市桥梁产权人和委托管理人未立即采取措施，设置显著的警示标志，或未在二十四小时内，向城市人民政府市政工程设施行政主管部门报告；市政工程设施行政主管部门提出处理意见后，城市桥梁产权人和委托管理人未在期限内排除危险；在危险排除之前，城市桥梁产权人和委托管理人使用或者转让危桥</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《城市桥梁检测和养护维修管理办</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法》</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96" w:hRule="atLeast"/>
          <w:jc w:val="center"/>
        </w:trPr>
        <w:tc>
          <w:tcPr>
            <w:tcW w:w="432" w:type="dxa"/>
            <w:vMerge w:val="restart"/>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2</w:t>
            </w: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违法建设</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未取得建设工程规划许可证或者未按照建设工程规划许可证的规定进行建设</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《中华人民共和国城乡规划法》</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9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违法建设</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建设单位或者个人未经批准进行临时建设</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《中华人民共和国城乡规划法》</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9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违法建设</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建设单位或者个人未按照批准内容进行临时建设</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《中华人民共和国城乡规划法》</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9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违法建设</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临时建筑物、构筑物超过批准期限建设单位或者个人不拆除</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4.行政处罚自由裁量基准；</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6.处罚决定；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7.救济渠道。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《中华人民共和国城乡规划法》</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1.除处罚决定外其他内容：长期公开（动态调整）；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2.处罚决定：20个工作日内。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9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违法建设</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城乡规划主管部门作出责令停止建设或者限期拆除的决定后，当事人不停止建设或者逾期不拆除</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5.强制决定；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《中华人民共和国城乡规划法》</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1.除强制决定外其他内容：长期公开（动态调整）；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2.强制决定：20个工作日内。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cantSplit/>
          <w:trHeight w:val="2596" w:hRule="atLeast"/>
          <w:jc w:val="center"/>
        </w:trPr>
        <w:tc>
          <w:tcPr>
            <w:tcW w:w="432"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1044"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违法建设</w:t>
            </w:r>
          </w:p>
        </w:tc>
        <w:tc>
          <w:tcPr>
            <w:tcW w:w="13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凡不符合城市容貌标准、环境卫生标准的建筑物或者设施，逾期未改造或者未拆除</w:t>
            </w:r>
          </w:p>
        </w:tc>
        <w:tc>
          <w:tcPr>
            <w:tcW w:w="204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1.机构职能、权责清单、执法人员名单；</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2.执法程序或行政强制流程图；</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3.执法依据；</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4.咨询、监督投诉方式；</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5.强制决定；</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6.救济渠道。</w:t>
            </w:r>
          </w:p>
        </w:tc>
        <w:tc>
          <w:tcPr>
            <w:tcW w:w="15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《城市市容和环境卫生管理条例》</w:t>
            </w:r>
          </w:p>
        </w:tc>
        <w:tc>
          <w:tcPr>
            <w:tcW w:w="16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1.除强制决定外其他内容：长期公开（动态调整）；</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2.强制决定：20个工作日内。</w:t>
            </w:r>
          </w:p>
        </w:tc>
        <w:tc>
          <w:tcPr>
            <w:tcW w:w="159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城市管理行政执法部门或相关行政主管部门</w:t>
            </w:r>
          </w:p>
        </w:tc>
        <w:tc>
          <w:tcPr>
            <w:tcW w:w="11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 xml:space="preserve">■政府网站      </w:t>
            </w:r>
            <w:r>
              <w:rPr>
                <w:rFonts w:hint="eastAsia" w:ascii="宋体" w:hAnsi="宋体" w:eastAsia="宋体" w:cs="宋体"/>
                <w:i w:val="0"/>
                <w:color w:val="auto"/>
                <w:kern w:val="0"/>
                <w:sz w:val="18"/>
                <w:szCs w:val="18"/>
                <w:u w:val="none"/>
                <w:lang w:val="en-US" w:eastAsia="zh-CN" w:bidi="ar"/>
              </w:rPr>
              <w:br w:type="textWrapping"/>
            </w:r>
            <w:r>
              <w:rPr>
                <w:rFonts w:hint="eastAsia" w:ascii="宋体" w:hAnsi="宋体" w:eastAsia="宋体" w:cs="宋体"/>
                <w:i w:val="0"/>
                <w:color w:val="auto"/>
                <w:kern w:val="0"/>
                <w:sz w:val="18"/>
                <w:szCs w:val="18"/>
                <w:u w:val="none"/>
                <w:lang w:val="en-US" w:eastAsia="zh-CN" w:bidi="ar"/>
              </w:rPr>
              <w:t xml:space="preserve">■公开查阅点    </w:t>
            </w:r>
          </w:p>
        </w:tc>
        <w:tc>
          <w:tcPr>
            <w:tcW w:w="7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55"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660" w:type="dxa"/>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eastAsia="宋体" w:cs="宋体"/>
                <w:i w:val="0"/>
                <w:color w:val="auto"/>
                <w:sz w:val="18"/>
                <w:szCs w:val="18"/>
                <w:u w:val="none"/>
              </w:rPr>
            </w:pPr>
          </w:p>
        </w:tc>
        <w:tc>
          <w:tcPr>
            <w:tcW w:w="4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c>
          <w:tcPr>
            <w:tcW w:w="52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auto"/>
                <w:sz w:val="18"/>
                <w:szCs w:val="18"/>
                <w:u w:val="none"/>
              </w:rPr>
            </w:pPr>
            <w:r>
              <w:rPr>
                <w:rFonts w:hint="eastAsia" w:ascii="宋体" w:hAnsi="宋体" w:eastAsia="宋体" w:cs="宋体"/>
                <w:i w:val="0"/>
                <w:color w:val="auto"/>
                <w:kern w:val="0"/>
                <w:sz w:val="18"/>
                <w:szCs w:val="18"/>
                <w:u w:val="none"/>
                <w:lang w:val="en-US" w:eastAsia="zh-CN" w:bidi="ar"/>
              </w:rPr>
              <w:t>√</w:t>
            </w:r>
          </w:p>
        </w:tc>
      </w:tr>
      <w:bookmarkEnd w:id="0"/>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0000000000000000000"/>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51615E"/>
    <w:rsid w:val="6B516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南区办事处</Company>
  <Pages>1</Pages>
  <Words>0</Words>
  <Characters>0</Characters>
  <Lines>0</Lines>
  <Paragraphs>0</Paragraphs>
  <TotalTime>1</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2020-12-21T02:28:00Z</dcterms:created>
  <dc:creator>信息中心</dc:creator>
  <cp:lastModifiedBy>信息中心</cp:lastModifiedBy>
  <dcterms:modified xsi:type="dcterms:W3CDTF">2020-12-21T02:30:56Z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