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31609"/>
      <w:bookmarkStart w:id="1" w:name="_Toc914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bookmarkStart w:id="2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食品药品监管领域基层政务公开标准目录</w:t>
      </w:r>
      <w:bookmarkEnd w:id="2"/>
      <w:bookmarkEnd w:id="0"/>
      <w:bookmarkEnd w:id="1"/>
    </w:p>
    <w:tbl>
      <w:tblPr>
        <w:tblStyle w:val="4"/>
        <w:tblW w:w="15480" w:type="dxa"/>
        <w:tblInd w:w="-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2129"/>
        <w:gridCol w:w="1770"/>
        <w:gridCol w:w="1799"/>
        <w:gridCol w:w="1502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公开内容（要素）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17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公开时限</w:t>
            </w:r>
          </w:p>
        </w:tc>
        <w:tc>
          <w:tcPr>
            <w:tcW w:w="17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公开主体</w:t>
            </w:r>
          </w:p>
        </w:tc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公开渠道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和载体</w:t>
            </w:r>
          </w:p>
        </w:tc>
        <w:tc>
          <w:tcPr>
            <w:tcW w:w="14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事项</w:t>
            </w: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全社会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特定群众</w:t>
            </w: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依申请公开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镇（街）级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村（社区）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食品生产经营许可服务指南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适用范围、审批依据、受理机构、申请条件、申请材料目录、办理基本流程、办结时限、结果送达、监督投诉渠道等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  <w:t xml:space="preserve">■政府网站    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  <w:t xml:space="preserve">■政务服务中心  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食品生产经营许可基本信息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同上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  <w:t xml:space="preserve">■政府网站      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  <w:t xml:space="preserve">■政务服务中心   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药品零售许可服务指南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适用范围、审批依据、受理机构、申请条件、申请材料目录、办理基本流程、办结时限、结果送达、监督投诉渠道等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同上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■政府网站     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药品零售许可企业基本信息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同上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■政务服务中心  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食品生产经营监督检查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■政府网站  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特殊食品生产经营监督检查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同上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■政府网站    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由县级组织的食品安全抽检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同上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■政府网站     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药品零售/医疗器械经营监督检查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■政府网站    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化妆品经营企业监督检查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■政府网站    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医疗机构使用药品质量安全监督检查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■政府网站     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由县级组织的医疗器械抽检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00" w:lineRule="exact"/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■政府网站     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食品生产经营行政处罚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行政处罚决定形成之日起20个工作日内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■政府网站     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药品监管行政处罚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行政处罚决定形成之日起20个工作日内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■政府网站        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医疗器械监管行政处罚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行政处罚决定形成之日起20个工作日内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■政府网站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行政处罚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化妆品监管行政处罚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行政处罚决定形成之日起20个工作日内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■政府网站     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食品安全消费提示、警示信息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信息形成之日起7个工作日内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■政府网站     ■两微一端 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《政府信息公开条例》《关于全面推进政务公开工作的意见》 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信息形成之日起20个工作日内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  <w:t xml:space="preserve">■政府网站     ■两微一端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食品药品投诉举报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信息形成之日起20个工作日内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  <w:t xml:space="preserve">■政府网站     ■两微一端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食品用药安全宣传活动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信息形成之日起7个工作日内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市场监督管理部门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  <w:t xml:space="preserve">■政府网站     ■两微一端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D1F45"/>
    <w:rsid w:val="0AAD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南区办事处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2020-12-21T02:13:00Z</dcterms:created>
  <dc:creator>NTKO</dc:creator>
  <cp:lastModifiedBy>NTKO</cp:lastModifiedBy>
  <dcterms:modified xsi:type="dcterms:W3CDTF">2020-12-21T02:14:23Z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