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_GBK" w:hAnsi="方正小标宋_GBK" w:eastAsia="方正小标宋_GBK"/>
          <w:b w:val="0"/>
          <w:bCs w:val="0"/>
          <w:sz w:val="30"/>
        </w:rPr>
      </w:pPr>
      <w:bookmarkStart w:id="0" w:name="_Toc5569"/>
      <w:r>
        <w:rPr>
          <w:rFonts w:hint="eastAsia" w:ascii="方正小标宋_GBK" w:hAnsi="方正小标宋_GBK" w:eastAsia="方正小标宋_GBK"/>
          <w:b w:val="0"/>
          <w:bCs w:val="0"/>
          <w:sz w:val="30"/>
        </w:rPr>
        <w:t>社会救助领域基层政务公开标准目录</w:t>
      </w:r>
      <w:bookmarkEnd w:id="0"/>
    </w:p>
    <w:tbl>
      <w:tblPr>
        <w:tblStyle w:val="5"/>
        <w:tblW w:w="15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79"/>
        <w:gridCol w:w="779"/>
        <w:gridCol w:w="2335"/>
        <w:gridCol w:w="2726"/>
        <w:gridCol w:w="1557"/>
        <w:gridCol w:w="1752"/>
        <w:gridCol w:w="1946"/>
        <w:gridCol w:w="584"/>
        <w:gridCol w:w="766"/>
        <w:gridCol w:w="59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5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75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Merge w:val="continue"/>
            <w:vAlign w:val="center"/>
          </w:tcPr>
          <w:p>
            <w:pPr>
              <w:widowControl/>
              <w:jc w:val="left"/>
              <w:rPr>
                <w:rFonts w:ascii="Times New Roman" w:hAnsi="Times New Roman"/>
                <w:color w:val="000000"/>
                <w:kern w:val="0"/>
                <w:sz w:val="22"/>
              </w:rPr>
            </w:pPr>
          </w:p>
        </w:tc>
        <w:tc>
          <w:tcPr>
            <w:tcW w:w="77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7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35" w:type="dxa"/>
            <w:vMerge w:val="continue"/>
            <w:vAlign w:val="center"/>
          </w:tcPr>
          <w:p>
            <w:pPr>
              <w:widowControl/>
              <w:jc w:val="left"/>
              <w:rPr>
                <w:rFonts w:ascii="黑体" w:hAnsi="宋体" w:eastAsia="黑体" w:cs="宋体"/>
                <w:color w:val="000000"/>
                <w:kern w:val="0"/>
                <w:sz w:val="22"/>
              </w:rPr>
            </w:pPr>
          </w:p>
        </w:tc>
        <w:tc>
          <w:tcPr>
            <w:tcW w:w="2726" w:type="dxa"/>
            <w:vMerge w:val="continue"/>
            <w:vAlign w:val="center"/>
          </w:tcPr>
          <w:p>
            <w:pPr>
              <w:widowControl/>
              <w:jc w:val="left"/>
              <w:rPr>
                <w:rFonts w:ascii="黑体" w:hAnsi="宋体" w:eastAsia="黑体" w:cs="宋体"/>
                <w:color w:val="000000"/>
                <w:kern w:val="0"/>
                <w:sz w:val="22"/>
              </w:rPr>
            </w:pPr>
          </w:p>
        </w:tc>
        <w:tc>
          <w:tcPr>
            <w:tcW w:w="1557" w:type="dxa"/>
            <w:vMerge w:val="continue"/>
            <w:vAlign w:val="center"/>
          </w:tcPr>
          <w:p>
            <w:pPr>
              <w:widowControl/>
              <w:jc w:val="left"/>
              <w:rPr>
                <w:rFonts w:ascii="黑体" w:hAnsi="宋体" w:eastAsia="黑体" w:cs="宋体"/>
                <w:color w:val="000000"/>
                <w:kern w:val="0"/>
                <w:sz w:val="22"/>
              </w:rPr>
            </w:pPr>
          </w:p>
        </w:tc>
        <w:tc>
          <w:tcPr>
            <w:tcW w:w="1752" w:type="dxa"/>
            <w:vMerge w:val="continue"/>
            <w:vAlign w:val="center"/>
          </w:tcPr>
          <w:p>
            <w:pPr>
              <w:widowControl/>
              <w:jc w:val="left"/>
              <w:rPr>
                <w:rFonts w:ascii="黑体" w:hAnsi="宋体" w:eastAsia="黑体" w:cs="宋体"/>
                <w:color w:val="000000"/>
                <w:kern w:val="0"/>
                <w:sz w:val="22"/>
              </w:rPr>
            </w:pPr>
          </w:p>
        </w:tc>
        <w:tc>
          <w:tcPr>
            <w:tcW w:w="1946" w:type="dxa"/>
            <w:vMerge w:val="continue"/>
            <w:vAlign w:val="center"/>
          </w:tcPr>
          <w:p>
            <w:pPr>
              <w:widowControl/>
              <w:jc w:val="left"/>
              <w:rPr>
                <w:rFonts w:ascii="黑体" w:hAnsi="宋体" w:eastAsia="黑体" w:cs="宋体"/>
                <w:kern w:val="0"/>
                <w:sz w:val="22"/>
              </w:rPr>
            </w:pP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6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72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72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3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《最低生活保障审核审批办法（试行）》（民发〔2012〕220号）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《广东省最低生活保障制度实施办法》（广东省人民政府令第262号）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《广东省人民政府转发国务院关于进一步加强和改进最低生活保障工作意见的通知》（粤府〔2012〕142号）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《中山市人民政府关于印发中山市城乡居民最低生活保障及低收入家庭救助实施办法的通知》（中府〔2019〕73号）（中府规字〔2019〕15号）</w:t>
            </w:r>
          </w:p>
          <w:p>
            <w:pPr>
              <w:jc w:val="left"/>
              <w:rPr>
                <w:rFonts w:hint="eastAsia" w:ascii="仿宋_GB2312" w:hAnsi="宋体" w:eastAsia="仿宋_GB2312"/>
                <w:color w:val="000000"/>
                <w:sz w:val="18"/>
                <w:szCs w:val="18"/>
              </w:rPr>
            </w:pPr>
          </w:p>
        </w:tc>
        <w:tc>
          <w:tcPr>
            <w:tcW w:w="272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3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335" w:type="dxa"/>
            <w:vAlign w:val="center"/>
          </w:tcPr>
          <w:p>
            <w:pPr>
              <w:rPr>
                <w:rFonts w:hint="eastAsia" w:ascii="仿宋_GB2312" w:hAnsi="宋体" w:eastAsia="仿宋_GB2312"/>
                <w:color w:val="000000"/>
                <w:sz w:val="18"/>
                <w:szCs w:val="18"/>
                <w:highlight w:val="yellow"/>
              </w:rPr>
            </w:pPr>
            <w:r>
              <w:rPr>
                <w:rFonts w:hint="eastAsia" w:ascii="仿宋_GB2312" w:hAnsi="宋体" w:eastAsia="仿宋_GB2312"/>
                <w:color w:val="000000"/>
                <w:sz w:val="18"/>
                <w:szCs w:val="18"/>
              </w:rPr>
              <w:t>户主姓名、所属村社区、家庭人数、拟保障人数、拟保障金额</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户主姓名、家庭人数、保障人数、保障金额</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35" w:type="dxa"/>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《民政部关于印发&lt;特困人员认定办法&gt;的通知》（民发〔2016〕178号）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《民政部关于贯彻落实&lt;国务院关于进一步健全特困人员救助供养制度的意见&gt;的通知》（民发〔2016〕115号）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《广东省人民政府关于进一步健全特困人员救助供养制度的实施意见》（粤府〔2016〕147号）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《广东省民政厅关于加强特困供养人员护理工作的通知》（粤民规字〔2018〕4号）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《广东省民政厅关于做好特困供养人员照料护理工作有关事项的通知》（粤民函〔2019〕451号）</w:t>
            </w:r>
          </w:p>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中山市人民政府关于印发中山市特困人员救助供养暂行办法的通知中府〔2019〕105号 中府规字〔2019〕18号</w:t>
            </w:r>
          </w:p>
        </w:tc>
        <w:tc>
          <w:tcPr>
            <w:tcW w:w="272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（一）初审对象名单：拟救助供养对象姓名、所属村（社区）、家庭人数、拟提供基本生活标准。</w:t>
            </w:r>
          </w:p>
          <w:p>
            <w:pPr>
              <w:pStyle w:val="2"/>
              <w:spacing w:after="0" w:line="240" w:lineRule="auto"/>
              <w:ind w:left="0" w:leftChars="0"/>
              <w:rPr>
                <w:rFonts w:hint="eastAsia" w:ascii="仿宋_GB2312" w:hAnsi="宋体" w:eastAsia="仿宋_GB2312"/>
                <w:color w:val="000000"/>
                <w:sz w:val="18"/>
                <w:szCs w:val="18"/>
              </w:rPr>
            </w:pPr>
            <w:r>
              <w:rPr>
                <w:rFonts w:hint="eastAsia" w:ascii="仿宋_GB2312" w:hAnsi="宋体" w:eastAsia="仿宋_GB2312"/>
                <w:color w:val="000000"/>
                <w:sz w:val="18"/>
                <w:szCs w:val="18"/>
              </w:rPr>
              <w:t>（二）终止供养名单：供养对象姓名、家庭人数、基本生活标准、照料护理标准、所属村（社区）</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供养对象姓名、家庭人数、基本生活标准、照料护理标准、所属村（社区）</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《民政部 财政部关于进一步加强和改进临时救助工作的意见》（民发〔2018〕23号）</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《中山市人民政府关于印发中山市临时救助办法的通知》（中府〔2018〕9号）</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《关于印发&lt;中山市神湾镇临时救助办法&gt;的通知》（神湾府〔2018〕19号）（神湾府规字〔2018〕2号）</w:t>
            </w:r>
          </w:p>
        </w:tc>
        <w:tc>
          <w:tcPr>
            <w:tcW w:w="272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7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79" w:type="dxa"/>
            <w:vMerge w:val="continue"/>
            <w:vAlign w:val="center"/>
          </w:tcPr>
          <w:p>
            <w:pPr>
              <w:rPr>
                <w:rFonts w:hint="eastAsia" w:ascii="仿宋_GB2312" w:hAnsi="宋体" w:eastAsia="仿宋_GB2312"/>
                <w:color w:val="000000"/>
                <w:sz w:val="18"/>
                <w:szCs w:val="18"/>
              </w:rPr>
            </w:pPr>
          </w:p>
        </w:tc>
        <w:tc>
          <w:tcPr>
            <w:tcW w:w="77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335"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对象姓名、所属村（社区）、对象类别、救助类别、救助金额 </w:t>
            </w:r>
          </w:p>
        </w:tc>
        <w:tc>
          <w:tcPr>
            <w:tcW w:w="272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55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75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神湾镇人民政府</w:t>
            </w:r>
          </w:p>
        </w:tc>
        <w:tc>
          <w:tcPr>
            <w:tcW w:w="194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84"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6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p>
      <w:bookmarkStart w:id="1" w:name="_GoBack"/>
      <w:bookmarkEnd w:id="1"/>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0A2A"/>
    <w:rsid w:val="01E15BA7"/>
    <w:rsid w:val="287D3CA6"/>
    <w:rsid w:val="3C240A39"/>
    <w:rsid w:val="70930A2A"/>
    <w:rsid w:val="73585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2020-10-30T03:40:00Z</dcterms:created>
  <dc:creator>nlajf</dc:creator>
  <cp:lastModifiedBy>关楚巾</cp:lastModifiedBy>
  <dcterms:modified xsi:type="dcterms:W3CDTF">2020-11-26T02:13:51Z</dcterms:modified>
  <dc:title>（二十二）安全生产领域基层政务公开标准目录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