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autoSpaceDE w:val="0"/>
        <w:autoSpaceDN w:val="0"/>
        <w:spacing w:line="560" w:lineRule="exact"/>
        <w:rPr>
          <w:highlight w:val="none"/>
        </w:rPr>
      </w:pPr>
    </w:p>
    <w:p>
      <w:pPr>
        <w:autoSpaceDE w:val="0"/>
        <w:autoSpaceDN w:val="0"/>
        <w:spacing w:line="560" w:lineRule="exact"/>
        <w:jc w:val="center"/>
        <w:rPr>
          <w:rFonts w:ascii="方正小标宋简体" w:hAnsi="方正小标宋简体" w:eastAsia="方正小标宋简体" w:cs="方正小标宋简体"/>
          <w:sz w:val="40"/>
          <w:szCs w:val="40"/>
          <w:highlight w:val="none"/>
        </w:rPr>
      </w:pPr>
      <w:r>
        <w:rPr>
          <w:rFonts w:hint="eastAsia" w:ascii="方正小标宋简体" w:hAnsi="方正小标宋简体" w:eastAsia="方正小标宋简体" w:cs="方正小标宋简体"/>
          <w:sz w:val="40"/>
          <w:szCs w:val="40"/>
          <w:highlight w:val="none"/>
        </w:rPr>
        <w:t>中山市城市更新管理办法</w:t>
      </w:r>
    </w:p>
    <w:p>
      <w:pPr>
        <w:autoSpaceDE w:val="0"/>
        <w:autoSpaceDN w:val="0"/>
        <w:spacing w:line="560" w:lineRule="exact"/>
        <w:jc w:val="center"/>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（征求意见稿）</w:t>
      </w:r>
    </w:p>
    <w:p>
      <w:pPr>
        <w:pStyle w:val="22"/>
        <w:numPr>
          <w:ilvl w:val="0"/>
          <w:numId w:val="0"/>
        </w:numPr>
        <w:autoSpaceDE w:val="0"/>
        <w:autoSpaceDN w:val="0"/>
        <w:spacing w:line="560" w:lineRule="exact"/>
        <w:ind w:leftChars="0"/>
        <w:jc w:val="both"/>
        <w:rPr>
          <w:rFonts w:ascii="黑体" w:hAnsi="黑体" w:eastAsia="黑体" w:cs="黑体"/>
          <w:sz w:val="32"/>
          <w:szCs w:val="32"/>
          <w:highlight w:val="none"/>
        </w:rPr>
      </w:pPr>
    </w:p>
    <w:p>
      <w:pPr>
        <w:pStyle w:val="22"/>
        <w:numPr>
          <w:ilvl w:val="0"/>
          <w:numId w:val="1"/>
        </w:numPr>
        <w:autoSpaceDE w:val="0"/>
        <w:autoSpaceDN w:val="0"/>
        <w:spacing w:line="560" w:lineRule="exact"/>
        <w:ind w:firstLineChars="0"/>
        <w:jc w:val="center"/>
        <w:rPr>
          <w:rFonts w:ascii="黑体" w:hAnsi="黑体" w:eastAsia="黑体" w:cs="黑体"/>
          <w:sz w:val="32"/>
          <w:szCs w:val="32"/>
          <w:highlight w:val="none"/>
        </w:rPr>
      </w:pPr>
      <w:r>
        <w:rPr>
          <w:rFonts w:hint="eastAsia" w:ascii="黑体" w:hAnsi="黑体" w:eastAsia="黑体" w:cs="黑体"/>
          <w:sz w:val="32"/>
          <w:szCs w:val="32"/>
          <w:highlight w:val="none"/>
        </w:rPr>
        <w:t>总则</w:t>
      </w:r>
    </w:p>
    <w:p>
      <w:pPr>
        <w:pStyle w:val="2"/>
        <w:rPr>
          <w:highlight w:val="none"/>
        </w:rPr>
      </w:pPr>
    </w:p>
    <w:p>
      <w:pPr>
        <w:autoSpaceDE w:val="0"/>
        <w:autoSpaceDN w:val="0"/>
        <w:spacing w:line="574"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第一条【制定目的</w:t>
      </w:r>
      <w:r>
        <w:rPr>
          <w:rFonts w:ascii="黑体" w:hAnsi="黑体" w:eastAsia="黑体" w:cs="黑体"/>
          <w:sz w:val="32"/>
          <w:szCs w:val="32"/>
          <w:highlight w:val="none"/>
        </w:rPr>
        <w:t>】</w:t>
      </w:r>
      <w:r>
        <w:rPr>
          <w:rFonts w:hint="eastAsia" w:ascii="仿宋_GB2312" w:hAnsi="仿宋_GB2312" w:eastAsia="仿宋_GB2312" w:cs="仿宋_GB2312"/>
          <w:sz w:val="32"/>
          <w:szCs w:val="32"/>
          <w:highlight w:val="none"/>
        </w:rPr>
        <w:t>为促进土地节约集约利用，拓展</w:t>
      </w:r>
      <w:r>
        <w:rPr>
          <w:rFonts w:hint="eastAsia" w:ascii="仿宋_GB2312" w:hAnsi="仿宋_GB2312" w:eastAsia="仿宋_GB2312" w:cs="仿宋_GB2312"/>
          <w:spacing w:val="-6"/>
          <w:sz w:val="32"/>
          <w:szCs w:val="32"/>
          <w:highlight w:val="none"/>
        </w:rPr>
        <w:t>生产、生活、生态空间</w:t>
      </w:r>
      <w:r>
        <w:rPr>
          <w:rFonts w:hint="eastAsia" w:ascii="仿宋_GB2312" w:hAnsi="仿宋_GB2312" w:eastAsia="仿宋_GB2312" w:cs="仿宋_GB2312"/>
          <w:sz w:val="32"/>
          <w:szCs w:val="32"/>
          <w:highlight w:val="none"/>
        </w:rPr>
        <w:t>，完善城市功能，改善人居环境，传承历史文化，根据有关法律法规，以及国家低效用地再开发和省“三旧”改造等政策规定，结合本市实际，制定本办法。</w:t>
      </w:r>
    </w:p>
    <w:p>
      <w:pPr>
        <w:autoSpaceDE w:val="0"/>
        <w:autoSpaceDN w:val="0"/>
        <w:spacing w:line="574"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第二条【适用范围】</w:t>
      </w:r>
      <w:r>
        <w:rPr>
          <w:rFonts w:hint="eastAsia" w:ascii="仿宋_GB2312" w:hAnsi="仿宋_GB2312" w:eastAsia="仿宋_GB2312" w:cs="仿宋_GB2312"/>
          <w:sz w:val="32"/>
          <w:szCs w:val="32"/>
          <w:highlight w:val="none"/>
        </w:rPr>
        <w:t>本市行政区域范围内的城市更新（含“三旧”改造）活动及其监督管理适用本办法。</w:t>
      </w:r>
    </w:p>
    <w:p>
      <w:pPr>
        <w:autoSpaceDE w:val="0"/>
        <w:autoSpaceDN w:val="0"/>
        <w:spacing w:line="574"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城市更新是指由政府及其部门、土地权利人或者其他符合规定的主体，</w:t>
      </w:r>
      <w:r>
        <w:rPr>
          <w:rFonts w:hint="eastAsia" w:ascii="仿宋_GB2312" w:hAnsi="仿宋_GB2312" w:eastAsia="仿宋_GB2312" w:cs="仿宋_GB2312"/>
          <w:sz w:val="32"/>
          <w:szCs w:val="32"/>
          <w:highlight w:val="none"/>
          <w:lang w:val="en-US" w:eastAsia="zh-CN"/>
        </w:rPr>
        <w:t>对</w:t>
      </w:r>
      <w:r>
        <w:rPr>
          <w:rFonts w:hint="eastAsia" w:ascii="仿宋_GB2312" w:hAnsi="仿宋_GB2312" w:eastAsia="仿宋_GB2312" w:cs="仿宋_GB2312"/>
          <w:sz w:val="32"/>
          <w:szCs w:val="32"/>
          <w:highlight w:val="none"/>
        </w:rPr>
        <w:t>特定城乡建成区范围内的旧厂房、旧村庄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旧城镇实施拆除重建、综合整治、局部拆建、局部加建、生态修复、历史文化保护等活动。</w:t>
      </w:r>
    </w:p>
    <w:p>
      <w:pPr>
        <w:autoSpaceDE w:val="0"/>
        <w:autoSpaceDN w:val="0"/>
        <w:spacing w:line="574"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第三条【指导思想】</w:t>
      </w:r>
      <w:r>
        <w:rPr>
          <w:rFonts w:hint="eastAsia" w:ascii="仿宋_GB2312" w:hAnsi="仿宋_GB2312" w:eastAsia="仿宋_GB2312" w:cs="仿宋_GB2312"/>
          <w:sz w:val="32"/>
          <w:szCs w:val="32"/>
          <w:highlight w:val="none"/>
        </w:rPr>
        <w:t>城市更新应当坚持“以人民为中心”的发展思想，遵循政府主导、规划引领、社会参与、公开透明原则，充分听取群众意见、保障权利人合法权益，推动连片成片更新改造，促进经济高质量发展，提升城市建设水平。</w:t>
      </w:r>
    </w:p>
    <w:p>
      <w:pPr>
        <w:autoSpaceDE w:val="0"/>
        <w:autoSpaceDN w:val="0"/>
        <w:spacing w:line="574"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第四条【工作原则】</w:t>
      </w:r>
      <w:r>
        <w:rPr>
          <w:rFonts w:hint="eastAsia" w:ascii="仿宋_GB2312" w:hAnsi="仿宋_GB2312" w:eastAsia="仿宋_GB2312" w:cs="仿宋_GB2312"/>
          <w:sz w:val="32"/>
          <w:szCs w:val="32"/>
          <w:highlight w:val="none"/>
        </w:rPr>
        <w:t>城市更新应当有利于提高土地节约集约利用水平；有利于促进产业转型升级</w:t>
      </w:r>
      <w:r>
        <w:rPr>
          <w:rFonts w:hint="eastAsia" w:ascii="仿宋_GB2312" w:hAnsi="仿宋_GB2312" w:eastAsia="仿宋_GB2312" w:cs="仿宋_GB2312"/>
          <w:color w:val="auto"/>
          <w:sz w:val="32"/>
          <w:szCs w:val="32"/>
          <w:highlight w:val="none"/>
          <w:lang w:eastAsia="zh-CN"/>
        </w:rPr>
        <w:t>和培育产城融合新业态</w:t>
      </w:r>
      <w:r>
        <w:rPr>
          <w:rFonts w:hint="eastAsia" w:ascii="仿宋_GB2312" w:hAnsi="仿宋_GB2312" w:eastAsia="仿宋_GB2312" w:cs="仿宋_GB2312"/>
          <w:sz w:val="32"/>
          <w:szCs w:val="32"/>
          <w:highlight w:val="none"/>
        </w:rPr>
        <w:t>；有利于为创新发展提供动力；有利于提升城市</w:t>
      </w:r>
      <w:r>
        <w:rPr>
          <w:rFonts w:hint="eastAsia" w:ascii="仿宋_GB2312" w:hAnsi="仿宋_GB2312" w:eastAsia="仿宋_GB2312" w:cs="仿宋_GB2312"/>
          <w:sz w:val="32"/>
          <w:szCs w:val="32"/>
          <w:highlight w:val="none"/>
          <w:lang w:eastAsia="zh-CN"/>
        </w:rPr>
        <w:t>形象和改善人居环境</w:t>
      </w:r>
      <w:r>
        <w:rPr>
          <w:rFonts w:hint="eastAsia" w:ascii="仿宋_GB2312" w:hAnsi="仿宋_GB2312" w:eastAsia="仿宋_GB2312" w:cs="仿宋_GB2312"/>
          <w:sz w:val="32"/>
          <w:szCs w:val="32"/>
          <w:highlight w:val="none"/>
        </w:rPr>
        <w:t>；有利于加快补齐基础设施短板</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完善公共服务体系</w:t>
      </w:r>
      <w:r>
        <w:rPr>
          <w:rFonts w:hint="eastAsia" w:ascii="仿宋_GB2312" w:hAnsi="仿宋_GB2312" w:eastAsia="仿宋_GB2312" w:cs="仿宋_GB2312"/>
          <w:sz w:val="32"/>
          <w:szCs w:val="32"/>
          <w:highlight w:val="none"/>
          <w:lang w:eastAsia="zh-CN"/>
        </w:rPr>
        <w:t>和</w:t>
      </w:r>
      <w:r>
        <w:rPr>
          <w:rFonts w:hint="eastAsia" w:ascii="仿宋_GB2312" w:hAnsi="仿宋_GB2312" w:eastAsia="仿宋_GB2312" w:cs="仿宋_GB2312"/>
          <w:sz w:val="32"/>
          <w:szCs w:val="32"/>
          <w:highlight w:val="none"/>
          <w:u w:val="none"/>
        </w:rPr>
        <w:t>满足人民群众</w:t>
      </w:r>
      <w:r>
        <w:rPr>
          <w:rFonts w:hint="eastAsia" w:ascii="仿宋_GB2312" w:hAnsi="仿宋_GB2312" w:eastAsia="仿宋_GB2312" w:cs="仿宋_GB2312"/>
          <w:sz w:val="32"/>
          <w:szCs w:val="32"/>
          <w:highlight w:val="none"/>
          <w:u w:val="none"/>
          <w:lang w:val="en-US" w:eastAsia="zh-CN"/>
        </w:rPr>
        <w:t>日益增长的</w:t>
      </w:r>
      <w:r>
        <w:rPr>
          <w:rFonts w:hint="eastAsia" w:ascii="仿宋_GB2312" w:hAnsi="仿宋_GB2312" w:eastAsia="仿宋_GB2312" w:cs="仿宋_GB2312"/>
          <w:sz w:val="32"/>
          <w:szCs w:val="32"/>
          <w:highlight w:val="none"/>
          <w:u w:val="none"/>
        </w:rPr>
        <w:t>精神需求</w:t>
      </w:r>
      <w:r>
        <w:rPr>
          <w:rFonts w:hint="eastAsia" w:ascii="仿宋_GB2312" w:hAnsi="仿宋_GB2312" w:eastAsia="仿宋_GB2312" w:cs="仿宋_GB2312"/>
          <w:sz w:val="32"/>
          <w:szCs w:val="32"/>
          <w:highlight w:val="none"/>
        </w:rPr>
        <w:t>；有利于传承和保护历史文化；有利于发展和壮大集体经济；有利于全面提升社会服务和管理水平。</w:t>
      </w:r>
    </w:p>
    <w:p>
      <w:pPr>
        <w:autoSpaceDE w:val="0"/>
        <w:autoSpaceDN w:val="0"/>
        <w:spacing w:line="574"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第五条【规划管理】</w:t>
      </w:r>
      <w:r>
        <w:rPr>
          <w:rFonts w:hint="eastAsia" w:ascii="仿宋_GB2312" w:hAnsi="仿宋_GB2312" w:eastAsia="仿宋_GB2312" w:cs="仿宋_GB2312"/>
          <w:sz w:val="32"/>
          <w:szCs w:val="32"/>
          <w:highlight w:val="none"/>
        </w:rPr>
        <w:t>城市更新应当符合国民经济和社会发展规划、国土空间规划、城市更新</w:t>
      </w:r>
      <w:r>
        <w:rPr>
          <w:rFonts w:hint="eastAsia" w:ascii="仿宋_GB2312" w:hAnsi="仿宋_GB2312" w:eastAsia="仿宋_GB2312" w:cs="仿宋_GB2312"/>
          <w:sz w:val="32"/>
          <w:szCs w:val="32"/>
          <w:highlight w:val="none"/>
          <w:lang w:val="en-US" w:eastAsia="zh-CN"/>
        </w:rPr>
        <w:t>及</w:t>
      </w:r>
      <w:r>
        <w:rPr>
          <w:rFonts w:hint="eastAsia" w:ascii="仿宋_GB2312" w:hAnsi="仿宋_GB2312" w:eastAsia="仿宋_GB2312" w:cs="仿宋_GB2312"/>
          <w:sz w:val="32"/>
          <w:szCs w:val="32"/>
          <w:highlight w:val="none"/>
        </w:rPr>
        <w:t>历史文化保护等专项规划，因地制宜制定改造策略和</w:t>
      </w:r>
      <w:r>
        <w:rPr>
          <w:rFonts w:hint="eastAsia" w:ascii="仿宋_GB2312" w:hAnsi="仿宋_GB2312" w:eastAsia="仿宋_GB2312" w:cs="仿宋_GB2312"/>
          <w:sz w:val="32"/>
          <w:szCs w:val="32"/>
          <w:highlight w:val="none"/>
          <w:lang w:val="en-US" w:eastAsia="zh-CN"/>
        </w:rPr>
        <w:t>管控</w:t>
      </w:r>
      <w:r>
        <w:rPr>
          <w:rFonts w:hint="eastAsia" w:ascii="仿宋_GB2312" w:hAnsi="仿宋_GB2312" w:eastAsia="仿宋_GB2312" w:cs="仿宋_GB2312"/>
          <w:sz w:val="32"/>
          <w:szCs w:val="32"/>
          <w:highlight w:val="none"/>
        </w:rPr>
        <w:t>标准，优化城市空间发展格局。</w:t>
      </w:r>
    </w:p>
    <w:p>
      <w:pPr>
        <w:autoSpaceDE w:val="0"/>
        <w:autoSpaceDN w:val="0"/>
        <w:spacing w:line="574"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城市更新专项规划依据国土空间总体规划编制，</w:t>
      </w:r>
      <w:r>
        <w:rPr>
          <w:rFonts w:hint="eastAsia" w:ascii="仿宋_GB2312" w:hAnsi="仿宋_GB2312" w:eastAsia="仿宋_GB2312" w:cs="仿宋_GB2312"/>
          <w:bCs/>
          <w:sz w:val="32"/>
          <w:szCs w:val="32"/>
          <w:highlight w:val="none"/>
        </w:rPr>
        <w:t>作为指导</w:t>
      </w:r>
      <w:r>
        <w:rPr>
          <w:rFonts w:hint="eastAsia" w:ascii="仿宋_GB2312" w:hAnsi="仿宋_GB2312" w:eastAsia="仿宋_GB2312" w:cs="仿宋_GB2312"/>
          <w:sz w:val="32"/>
          <w:szCs w:val="32"/>
          <w:highlight w:val="none"/>
        </w:rPr>
        <w:t>单元计划</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sz w:val="32"/>
          <w:szCs w:val="32"/>
          <w:highlight w:val="none"/>
        </w:rPr>
        <w:t>单元规划、年度实施计划制定的依据。</w:t>
      </w:r>
    </w:p>
    <w:p>
      <w:pPr>
        <w:autoSpaceDE w:val="0"/>
        <w:autoSpaceDN w:val="0"/>
        <w:spacing w:line="574"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第六条【计划管理】</w:t>
      </w:r>
      <w:r>
        <w:rPr>
          <w:rFonts w:hint="eastAsia" w:ascii="仿宋_GB2312" w:hAnsi="仿宋_GB2312" w:eastAsia="仿宋_GB2312" w:cs="仿宋_GB2312"/>
          <w:sz w:val="32"/>
          <w:szCs w:val="32"/>
          <w:highlight w:val="none"/>
        </w:rPr>
        <w:t>城市更新实行年度实施计划管理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包括</w:t>
      </w:r>
      <w:r>
        <w:rPr>
          <w:rFonts w:hint="eastAsia" w:ascii="仿宋_GB2312" w:hAnsi="仿宋_GB2312" w:eastAsia="仿宋_GB2312" w:cs="仿宋_GB2312"/>
          <w:sz w:val="32"/>
          <w:szCs w:val="32"/>
          <w:highlight w:val="none"/>
        </w:rPr>
        <w:t>项目实施</w:t>
      </w:r>
      <w:r>
        <w:rPr>
          <w:rFonts w:hint="eastAsia" w:ascii="仿宋_GB2312" w:hAnsi="仿宋_GB2312" w:eastAsia="仿宋_GB2312" w:cs="仿宋_GB2312"/>
          <w:sz w:val="32"/>
          <w:szCs w:val="32"/>
          <w:highlight w:val="none"/>
          <w:lang w:val="en-US" w:eastAsia="zh-CN"/>
        </w:rPr>
        <w:t>及</w:t>
      </w:r>
      <w:r>
        <w:rPr>
          <w:rFonts w:hint="eastAsia" w:ascii="仿宋_GB2312" w:hAnsi="仿宋_GB2312" w:eastAsia="仿宋_GB2312" w:cs="仿宋_GB2312"/>
          <w:sz w:val="32"/>
          <w:szCs w:val="32"/>
          <w:highlight w:val="none"/>
        </w:rPr>
        <w:t>资金使用计划。城市更新涉及供应住宅、商服用地的，应当纳入年度国有建设用地供应计划。</w:t>
      </w:r>
    </w:p>
    <w:p>
      <w:pPr>
        <w:autoSpaceDE w:val="0"/>
        <w:autoSpaceDN w:val="0"/>
        <w:spacing w:line="574"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第七条【改造分类】</w:t>
      </w:r>
      <w:r>
        <w:rPr>
          <w:rFonts w:hint="eastAsia" w:ascii="仿宋_GB2312" w:hAnsi="仿宋_GB2312" w:eastAsia="仿宋_GB2312" w:cs="仿宋_GB2312"/>
          <w:sz w:val="32"/>
          <w:szCs w:val="32"/>
          <w:highlight w:val="none"/>
        </w:rPr>
        <w:t>城市更新分为全面改造、微改造和局部改造三种类型。</w:t>
      </w:r>
    </w:p>
    <w:p>
      <w:pPr>
        <w:autoSpaceDE w:val="0"/>
        <w:autoSpaceDN w:val="0"/>
        <w:spacing w:line="574"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（一）全面改造，是指以拆除重建方式进行再开发，或实施生态修复、土地复垦等改造活动。</w:t>
      </w:r>
    </w:p>
    <w:p>
      <w:pPr>
        <w:suppressLineNumbers/>
        <w:autoSpaceDE w:val="0"/>
        <w:autoSpaceDN w:val="0"/>
        <w:adjustRightInd w:val="0"/>
        <w:snapToGrid w:val="0"/>
        <w:spacing w:line="574" w:lineRule="exact"/>
        <w:ind w:firstLine="652" w:firstLineChars="204"/>
        <w:contextualSpacing/>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（二）微改造，是指维持现状建筑物主体结构基本不变，对附着于现状建筑物进行加建、拆建，改变使用功能，整饰修缮、保护活化，完善公益性设施等改造活动。</w:t>
      </w:r>
    </w:p>
    <w:p>
      <w:pPr>
        <w:suppressLineNumbers/>
        <w:autoSpaceDE w:val="0"/>
        <w:autoSpaceDN w:val="0"/>
        <w:adjustRightInd w:val="0"/>
        <w:snapToGrid w:val="0"/>
        <w:spacing w:line="574" w:lineRule="exact"/>
        <w:ind w:firstLine="652" w:firstLineChars="204"/>
        <w:contextualSpacing/>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（三）局部改造，是指在宗地范围内，保留符合规划、建筑规范和安全标准的建筑物为前提，另行加建、改扩建等改造活动。</w:t>
      </w:r>
    </w:p>
    <w:p>
      <w:pPr>
        <w:suppressLineNumbers/>
        <w:autoSpaceDE w:val="0"/>
        <w:autoSpaceDN w:val="0"/>
        <w:adjustRightInd w:val="0"/>
        <w:snapToGrid w:val="0"/>
        <w:spacing w:line="574" w:lineRule="exact"/>
        <w:ind w:firstLine="652" w:firstLineChars="204"/>
        <w:contextualSpacing/>
        <w:rPr>
          <w:rFonts w:ascii="仿宋_GB2312" w:hAnsi="仿宋_GB2312" w:eastAsia="仿宋_GB2312" w:cs="仿宋_GB2312"/>
          <w:sz w:val="32"/>
          <w:szCs w:val="32"/>
          <w:highlight w:val="none"/>
        </w:rPr>
      </w:pPr>
      <w:r>
        <w:rPr>
          <w:rFonts w:hint="eastAsia" w:ascii="黑体" w:hAnsi="黑体" w:eastAsia="黑体" w:cs="仿宋_GB2312"/>
          <w:sz w:val="32"/>
          <w:szCs w:val="32"/>
          <w:highlight w:val="none"/>
        </w:rPr>
        <w:t>第八条【实施方式】</w:t>
      </w:r>
      <w:r>
        <w:rPr>
          <w:rFonts w:hint="eastAsia" w:ascii="仿宋_GB2312" w:hAnsi="仿宋_GB2312" w:eastAsia="仿宋_GB2312" w:cs="仿宋_GB2312"/>
          <w:sz w:val="32"/>
          <w:szCs w:val="32"/>
          <w:highlight w:val="none"/>
        </w:rPr>
        <w:t>城市更新分为政府</w:t>
      </w:r>
      <w:r>
        <w:rPr>
          <w:rFonts w:hint="eastAsia" w:ascii="仿宋_GB2312" w:hAnsi="仿宋_GB2312" w:eastAsia="仿宋_GB2312" w:cs="仿宋_GB2312"/>
          <w:sz w:val="32"/>
          <w:szCs w:val="32"/>
          <w:highlight w:val="none"/>
          <w:lang w:eastAsia="zh-CN"/>
        </w:rPr>
        <w:t>整备</w:t>
      </w:r>
      <w:r>
        <w:rPr>
          <w:rFonts w:hint="eastAsia" w:ascii="仿宋_GB2312" w:hAnsi="仿宋_GB2312" w:eastAsia="仿宋_GB2312" w:cs="仿宋_GB2312"/>
          <w:sz w:val="32"/>
          <w:szCs w:val="32"/>
          <w:highlight w:val="none"/>
        </w:rPr>
        <w:t>改造</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合作改造、</w:t>
      </w:r>
      <w:r>
        <w:rPr>
          <w:rFonts w:hint="eastAsia" w:ascii="仿宋_GB2312" w:hAnsi="仿宋_GB2312" w:eastAsia="仿宋_GB2312" w:cs="仿宋_GB2312"/>
          <w:sz w:val="32"/>
          <w:szCs w:val="32"/>
          <w:highlight w:val="none"/>
        </w:rPr>
        <w:t>权利人</w:t>
      </w:r>
      <w:r>
        <w:rPr>
          <w:rFonts w:hint="eastAsia" w:ascii="仿宋_GB2312" w:hAnsi="仿宋_GB2312" w:eastAsia="仿宋_GB2312" w:cs="仿宋_GB2312"/>
          <w:sz w:val="32"/>
          <w:szCs w:val="32"/>
          <w:highlight w:val="none"/>
          <w:lang w:val="en-US" w:eastAsia="zh-CN"/>
        </w:rPr>
        <w:t>自主</w:t>
      </w:r>
      <w:r>
        <w:rPr>
          <w:rFonts w:hint="eastAsia" w:ascii="仿宋_GB2312" w:hAnsi="仿宋_GB2312" w:eastAsia="仿宋_GB2312" w:cs="仿宋_GB2312"/>
          <w:sz w:val="32"/>
          <w:szCs w:val="32"/>
          <w:highlight w:val="none"/>
        </w:rPr>
        <w:t>改造</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 xml:space="preserve">种方式： </w:t>
      </w:r>
    </w:p>
    <w:p>
      <w:pPr>
        <w:suppressLineNumbers/>
        <w:autoSpaceDE w:val="0"/>
        <w:autoSpaceDN w:val="0"/>
        <w:adjustRightInd w:val="0"/>
        <w:snapToGrid w:val="0"/>
        <w:spacing w:line="574" w:lineRule="exact"/>
        <w:ind w:firstLine="652" w:firstLineChars="204"/>
        <w:contextualSpacing/>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（一）政府</w:t>
      </w:r>
      <w:r>
        <w:rPr>
          <w:rFonts w:hint="eastAsia" w:ascii="仿宋_GB2312" w:hAnsi="仿宋_GB2312" w:eastAsia="仿宋_GB2312" w:cs="仿宋_GB2312"/>
          <w:sz w:val="32"/>
          <w:szCs w:val="32"/>
          <w:highlight w:val="none"/>
          <w:lang w:eastAsia="zh-CN"/>
        </w:rPr>
        <w:t>整备</w:t>
      </w:r>
      <w:r>
        <w:rPr>
          <w:rFonts w:hint="eastAsia" w:ascii="仿宋_GB2312" w:hAnsi="仿宋_GB2312" w:eastAsia="仿宋_GB2312" w:cs="仿宋_GB2312"/>
          <w:sz w:val="32"/>
          <w:szCs w:val="32"/>
          <w:highlight w:val="none"/>
        </w:rPr>
        <w:t>改造</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是指由政府通过征收土地、收回土地使用权等方式对拟改造范围内用地进行整备，并通过公开方式确定土地使用权人实施改造，包括由土地权利人将土地交政府主导改造情形。</w:t>
      </w:r>
    </w:p>
    <w:p>
      <w:pPr>
        <w:suppressLineNumbers/>
        <w:autoSpaceDE w:val="0"/>
        <w:autoSpaceDN w:val="0"/>
        <w:adjustRightInd w:val="0"/>
        <w:snapToGrid w:val="0"/>
        <w:spacing w:line="574" w:lineRule="exact"/>
        <w:ind w:firstLine="652" w:firstLineChars="204"/>
        <w:contextualSpacing/>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val="en-US" w:eastAsia="zh-CN"/>
        </w:rPr>
        <w:t>合作改造，包括以下情形：</w:t>
      </w:r>
    </w:p>
    <w:p>
      <w:pPr>
        <w:suppressLineNumbers/>
        <w:autoSpaceDE w:val="0"/>
        <w:autoSpaceDN w:val="0"/>
        <w:adjustRightInd w:val="0"/>
        <w:snapToGrid w:val="0"/>
        <w:spacing w:line="574" w:lineRule="exact"/>
        <w:ind w:firstLine="652" w:firstLineChars="204"/>
        <w:contextualSpacing/>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村集体</w:t>
      </w:r>
      <w:r>
        <w:rPr>
          <w:rFonts w:hint="eastAsia" w:ascii="仿宋_GB2312" w:hAnsi="仿宋_GB2312" w:eastAsia="仿宋_GB2312" w:cs="仿宋_GB2312"/>
          <w:sz w:val="32"/>
          <w:szCs w:val="32"/>
          <w:highlight w:val="none"/>
          <w:lang w:eastAsia="zh-CN"/>
        </w:rPr>
        <w:t>经批准</w:t>
      </w:r>
      <w:r>
        <w:rPr>
          <w:rFonts w:hint="eastAsia" w:ascii="仿宋_GB2312" w:hAnsi="仿宋_GB2312" w:eastAsia="仿宋_GB2312" w:cs="仿宋_GB2312"/>
          <w:sz w:val="32"/>
          <w:szCs w:val="32"/>
          <w:highlight w:val="none"/>
        </w:rPr>
        <w:t>通过公开方式选定</w:t>
      </w:r>
      <w:r>
        <w:rPr>
          <w:rFonts w:hint="eastAsia" w:ascii="仿宋_GB2312" w:hAnsi="仿宋_GB2312" w:eastAsia="仿宋_GB2312" w:cs="仿宋_GB2312"/>
          <w:sz w:val="32"/>
          <w:szCs w:val="32"/>
          <w:highlight w:val="none"/>
          <w:lang w:val="en-US" w:eastAsia="zh-CN"/>
        </w:rPr>
        <w:t>市场</w:t>
      </w:r>
      <w:r>
        <w:rPr>
          <w:rFonts w:hint="eastAsia" w:ascii="仿宋_GB2312" w:hAnsi="仿宋_GB2312" w:eastAsia="仿宋_GB2312" w:cs="仿宋_GB2312"/>
          <w:sz w:val="32"/>
          <w:szCs w:val="32"/>
          <w:highlight w:val="none"/>
        </w:rPr>
        <w:t>主体进行合作改造</w:t>
      </w:r>
      <w:r>
        <w:rPr>
          <w:rFonts w:hint="eastAsia" w:ascii="仿宋_GB2312" w:hAnsi="仿宋_GB2312" w:eastAsia="仿宋_GB2312" w:cs="仿宋_GB2312"/>
          <w:sz w:val="32"/>
          <w:szCs w:val="32"/>
          <w:highlight w:val="none"/>
          <w:lang w:eastAsia="zh-CN"/>
        </w:rPr>
        <w:t>；</w:t>
      </w:r>
    </w:p>
    <w:p>
      <w:pPr>
        <w:suppressLineNumbers/>
        <w:autoSpaceDE w:val="0"/>
        <w:autoSpaceDN w:val="0"/>
        <w:adjustRightInd w:val="0"/>
        <w:snapToGrid w:val="0"/>
        <w:spacing w:line="574" w:lineRule="exact"/>
        <w:ind w:firstLine="652" w:firstLineChars="204"/>
        <w:contextualSpacing/>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2.经批准由</w:t>
      </w:r>
      <w:r>
        <w:rPr>
          <w:rFonts w:hint="eastAsia" w:ascii="仿宋_GB2312" w:hAnsi="仿宋_GB2312" w:eastAsia="仿宋_GB2312" w:cs="仿宋_GB2312"/>
          <w:sz w:val="32"/>
          <w:szCs w:val="32"/>
          <w:highlight w:val="none"/>
        </w:rPr>
        <w:t>全部权利人通过签订搬（拆）迁补偿安置协议、房地产作价入股、联营、收购归宗等方式，将房地产的相关权益转移到单一主体后由其</w:t>
      </w:r>
      <w:r>
        <w:rPr>
          <w:rFonts w:hint="eastAsia" w:ascii="仿宋_GB2312" w:hAnsi="仿宋_GB2312" w:eastAsia="仿宋_GB2312" w:cs="仿宋_GB2312"/>
          <w:sz w:val="32"/>
          <w:szCs w:val="32"/>
          <w:highlight w:val="none"/>
          <w:lang w:val="en-US" w:eastAsia="zh-CN"/>
        </w:rPr>
        <w:t>实施改造</w:t>
      </w:r>
      <w:r>
        <w:rPr>
          <w:rFonts w:hint="eastAsia" w:ascii="仿宋_GB2312" w:hAnsi="仿宋_GB2312" w:eastAsia="仿宋_GB2312" w:cs="仿宋_GB2312"/>
          <w:sz w:val="32"/>
          <w:szCs w:val="32"/>
          <w:highlight w:val="none"/>
          <w:lang w:eastAsia="zh-CN"/>
        </w:rPr>
        <w:t>。</w:t>
      </w:r>
    </w:p>
    <w:p>
      <w:pPr>
        <w:suppressLineNumbers/>
        <w:autoSpaceDE w:val="0"/>
        <w:autoSpaceDN w:val="0"/>
        <w:adjustRightInd w:val="0"/>
        <w:snapToGrid w:val="0"/>
        <w:spacing w:line="574" w:lineRule="exact"/>
        <w:ind w:firstLine="652" w:firstLineChars="204"/>
        <w:contextualSpacing/>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权利人自</w:t>
      </w:r>
      <w:r>
        <w:rPr>
          <w:rFonts w:hint="eastAsia" w:ascii="仿宋_GB2312" w:hAnsi="仿宋_GB2312" w:eastAsia="仿宋_GB2312" w:cs="仿宋_GB2312"/>
          <w:sz w:val="32"/>
          <w:szCs w:val="32"/>
          <w:highlight w:val="none"/>
          <w:lang w:val="en-US" w:eastAsia="zh-CN"/>
        </w:rPr>
        <w:t>主</w:t>
      </w:r>
      <w:r>
        <w:rPr>
          <w:rFonts w:hint="eastAsia" w:ascii="仿宋_GB2312" w:hAnsi="仿宋_GB2312" w:eastAsia="仿宋_GB2312" w:cs="仿宋_GB2312"/>
          <w:sz w:val="32"/>
          <w:szCs w:val="32"/>
          <w:highlight w:val="none"/>
        </w:rPr>
        <w:t>改造，</w:t>
      </w:r>
      <w:r>
        <w:rPr>
          <w:rFonts w:hint="eastAsia" w:ascii="仿宋_GB2312" w:hAnsi="仿宋_GB2312" w:eastAsia="仿宋_GB2312" w:cs="仿宋_GB2312"/>
          <w:sz w:val="32"/>
          <w:szCs w:val="32"/>
          <w:highlight w:val="none"/>
          <w:lang w:val="en-US" w:eastAsia="zh-CN"/>
        </w:rPr>
        <w:t>是指</w:t>
      </w:r>
      <w:r>
        <w:rPr>
          <w:rFonts w:hint="eastAsia" w:ascii="仿宋_GB2312" w:hAnsi="仿宋_GB2312" w:eastAsia="仿宋_GB2312" w:cs="仿宋_GB2312"/>
          <w:sz w:val="32"/>
          <w:szCs w:val="32"/>
          <w:highlight w:val="none"/>
        </w:rPr>
        <w:t>单一权利人</w:t>
      </w:r>
      <w:r>
        <w:rPr>
          <w:rFonts w:hint="eastAsia" w:ascii="仿宋_GB2312" w:hAnsi="仿宋_GB2312" w:eastAsia="仿宋_GB2312" w:cs="仿宋_GB2312"/>
          <w:sz w:val="32"/>
          <w:szCs w:val="32"/>
          <w:highlight w:val="none"/>
          <w:lang w:eastAsia="zh-CN"/>
        </w:rPr>
        <w:t>经批准</w:t>
      </w:r>
      <w:r>
        <w:rPr>
          <w:rFonts w:hint="eastAsia" w:ascii="仿宋_GB2312" w:hAnsi="仿宋_GB2312" w:eastAsia="仿宋_GB2312" w:cs="仿宋_GB2312"/>
          <w:sz w:val="32"/>
          <w:szCs w:val="32"/>
          <w:highlight w:val="none"/>
        </w:rPr>
        <w:t>对其用地自主实施改造。</w:t>
      </w:r>
    </w:p>
    <w:p>
      <w:pPr>
        <w:autoSpaceDE w:val="0"/>
        <w:autoSpaceDN w:val="0"/>
        <w:spacing w:line="574"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第九条【职责分工】</w:t>
      </w:r>
      <w:r>
        <w:rPr>
          <w:rFonts w:hint="eastAsia" w:ascii="仿宋_GB2312" w:hAnsi="仿宋_GB2312" w:eastAsia="仿宋_GB2312" w:cs="仿宋_GB2312"/>
          <w:sz w:val="32"/>
          <w:szCs w:val="32"/>
          <w:highlight w:val="none"/>
        </w:rPr>
        <w:t>市政府成立城市更新领导机构，负责审议城市更新重大政策措施、相关专项规划、年度实施计划以及重点项目改造方案、招商方案等，统筹</w:t>
      </w:r>
      <w:r>
        <w:rPr>
          <w:rFonts w:hint="eastAsia" w:ascii="仿宋_GB2312" w:hAnsi="仿宋_GB2312" w:eastAsia="仿宋_GB2312" w:cs="仿宋_GB2312"/>
          <w:spacing w:val="-6"/>
          <w:kern w:val="0"/>
          <w:sz w:val="32"/>
          <w:szCs w:val="32"/>
          <w:highlight w:val="none"/>
        </w:rPr>
        <w:t>协调解决城市更新重要问题。</w:t>
      </w:r>
    </w:p>
    <w:p>
      <w:pPr>
        <w:autoSpaceDE w:val="0"/>
        <w:autoSpaceDN w:val="0"/>
        <w:spacing w:line="574"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市城市更新主管部门统筹协调城市更新相关政策制定、规划编制、项目审批等工作。市自然资源、住房城乡建设、发展改革、工业和信息化、商务、城市管理和综合执法、农业农村、生态环境等部门在各自职责范围内负责城市更新相关监督管理工作。</w:t>
      </w:r>
    </w:p>
    <w:p>
      <w:pPr>
        <w:autoSpaceDE w:val="0"/>
        <w:autoSpaceDN w:val="0"/>
        <w:spacing w:line="574"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各镇政府</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区管委会、办事处（简称镇街政府</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负责统筹推进本辖区城市更新工作和落实历史文化名城保护要求，指导和监督辖区内村集体开展城市更新相关工作。</w:t>
      </w:r>
    </w:p>
    <w:p>
      <w:pPr>
        <w:autoSpaceDE w:val="0"/>
        <w:autoSpaceDN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市、</w:t>
      </w:r>
      <w:r>
        <w:rPr>
          <w:rFonts w:hint="eastAsia" w:ascii="仿宋_GB2312" w:hAnsi="仿宋_GB2312" w:eastAsia="仿宋_GB2312" w:cs="仿宋_GB2312"/>
          <w:sz w:val="32"/>
          <w:szCs w:val="32"/>
          <w:highlight w:val="none"/>
          <w:lang w:val="en-US" w:eastAsia="zh-CN"/>
        </w:rPr>
        <w:t>镇街</w:t>
      </w:r>
      <w:r>
        <w:rPr>
          <w:rFonts w:hint="eastAsia" w:ascii="仿宋_GB2312" w:hAnsi="仿宋_GB2312" w:eastAsia="仿宋_GB2312" w:cs="仿宋_GB2312"/>
          <w:sz w:val="32"/>
          <w:szCs w:val="32"/>
          <w:highlight w:val="none"/>
        </w:rPr>
        <w:t>财政按照各自事权安排工作经费，用于组织开展城市更新的前期工作。</w:t>
      </w:r>
    </w:p>
    <w:p>
      <w:pPr>
        <w:autoSpaceDE w:val="0"/>
        <w:autoSpaceDN w:val="0"/>
        <w:spacing w:line="560" w:lineRule="exact"/>
        <w:ind w:firstLine="640" w:firstLineChars="200"/>
        <w:jc w:val="center"/>
        <w:rPr>
          <w:rFonts w:ascii="仿宋_GB2312" w:hAnsi="仿宋_GB2312" w:eastAsia="仿宋_GB2312" w:cs="仿宋_GB2312"/>
          <w:sz w:val="32"/>
          <w:szCs w:val="32"/>
          <w:highlight w:val="none"/>
        </w:rPr>
      </w:pPr>
    </w:p>
    <w:p>
      <w:pPr>
        <w:autoSpaceDE w:val="0"/>
        <w:autoSpaceDN w:val="0"/>
        <w:spacing w:line="560" w:lineRule="exact"/>
        <w:ind w:left="640" w:firstLine="2560" w:firstLineChars="800"/>
        <w:rPr>
          <w:rFonts w:ascii="黑体" w:hAnsi="黑体" w:eastAsia="黑体" w:cs="黑体"/>
          <w:sz w:val="32"/>
          <w:szCs w:val="32"/>
          <w:highlight w:val="none"/>
        </w:rPr>
      </w:pPr>
      <w:r>
        <w:rPr>
          <w:rFonts w:hint="eastAsia" w:ascii="黑体" w:hAnsi="黑体" w:eastAsia="黑体" w:cs="黑体"/>
          <w:sz w:val="32"/>
          <w:szCs w:val="32"/>
          <w:highlight w:val="none"/>
        </w:rPr>
        <w:t>第二章   片区策划</w:t>
      </w:r>
    </w:p>
    <w:p>
      <w:pPr>
        <w:autoSpaceDE w:val="0"/>
        <w:autoSpaceDN w:val="0"/>
        <w:spacing w:line="560" w:lineRule="exact"/>
        <w:ind w:left="640" w:firstLine="2560" w:firstLineChars="800"/>
        <w:rPr>
          <w:rFonts w:ascii="黑体" w:hAnsi="黑体" w:eastAsia="黑体" w:cs="黑体"/>
          <w:sz w:val="32"/>
          <w:szCs w:val="32"/>
          <w:highlight w:val="none"/>
        </w:rPr>
      </w:pPr>
    </w:p>
    <w:p>
      <w:pPr>
        <w:autoSpaceDE w:val="0"/>
        <w:autoSpaceDN w:val="0"/>
        <w:spacing w:line="574"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第十条【标图建库】</w:t>
      </w:r>
      <w:r>
        <w:rPr>
          <w:rFonts w:hint="eastAsia" w:ascii="仿宋_GB2312" w:hAnsi="仿宋_GB2312" w:eastAsia="仿宋_GB2312" w:cs="仿宋_GB2312"/>
          <w:sz w:val="32"/>
          <w:szCs w:val="32"/>
          <w:highlight w:val="none"/>
        </w:rPr>
        <w:t>对</w:t>
      </w:r>
      <w:r>
        <w:rPr>
          <w:rFonts w:hint="eastAsia" w:ascii="仿宋_GB2312" w:hAnsi="仿宋_GB2312" w:eastAsia="仿宋_GB2312" w:cs="仿宋_GB2312"/>
          <w:sz w:val="32"/>
          <w:szCs w:val="32"/>
          <w:highlight w:val="none"/>
          <w:lang w:val="en-US" w:eastAsia="zh-CN"/>
        </w:rPr>
        <w:t>符合</w:t>
      </w:r>
      <w:r>
        <w:rPr>
          <w:rFonts w:hint="eastAsia" w:ascii="仿宋_GB2312" w:hAnsi="仿宋_GB2312" w:eastAsia="仿宋_GB2312" w:cs="仿宋_GB2312"/>
          <w:sz w:val="32"/>
          <w:szCs w:val="32"/>
          <w:highlight w:val="none"/>
        </w:rPr>
        <w:t>2009年12月31日前上盖建筑物占地比例、土地利用总体规划（或国土空间总体规划），以及第二次全国土地调查和最新的土地利用现状变更调查认定为建设用地等条件的，由</w:t>
      </w:r>
      <w:r>
        <w:rPr>
          <w:rFonts w:hint="eastAsia" w:ascii="仿宋_GB2312" w:hAnsi="仿宋_GB2312" w:eastAsia="仿宋_GB2312" w:cs="仿宋_GB2312"/>
          <w:sz w:val="32"/>
          <w:szCs w:val="32"/>
          <w:highlight w:val="none"/>
          <w:lang w:eastAsia="zh-CN"/>
        </w:rPr>
        <w:t>镇街政府</w:t>
      </w:r>
      <w:r>
        <w:rPr>
          <w:rFonts w:hint="eastAsia" w:ascii="仿宋_GB2312" w:hAnsi="仿宋_GB2312" w:eastAsia="仿宋_GB2312" w:cs="仿宋_GB2312"/>
          <w:sz w:val="32"/>
          <w:szCs w:val="32"/>
          <w:highlight w:val="none"/>
        </w:rPr>
        <w:t>申请或依据原权利人申请纳入省“三旧”改造地块数据库，实施动态管理。</w:t>
      </w:r>
    </w:p>
    <w:p>
      <w:pPr>
        <w:autoSpaceDE w:val="0"/>
        <w:autoSpaceDN w:val="0"/>
        <w:spacing w:line="574"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第十一条【基础数据调查及单元划定】</w:t>
      </w:r>
      <w:r>
        <w:rPr>
          <w:rFonts w:hint="eastAsia" w:ascii="仿宋_GB2312" w:hAnsi="仿宋_GB2312" w:eastAsia="仿宋_GB2312" w:cs="仿宋_GB2312"/>
          <w:sz w:val="32"/>
          <w:szCs w:val="32"/>
          <w:highlight w:val="none"/>
        </w:rPr>
        <w:t>根据改造潜力和初步意愿情况，初步划定拟改造范围，调查清楚土地、房屋、人口、历史文化遗存、公益性设施、产业等现状情况。调查结果报市城市更新主管部门统一入库管理。</w:t>
      </w:r>
    </w:p>
    <w:p>
      <w:pPr>
        <w:autoSpaceDE w:val="0"/>
        <w:autoSpaceDN w:val="0"/>
        <w:spacing w:line="574"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城市更新单元根据拟改造范围的现状情况，综合考虑行政边界、产权界线、道路、河流、山体以及国土空间相关规划范围等因素划定，作为基本管控单位。</w:t>
      </w:r>
    </w:p>
    <w:p>
      <w:pPr>
        <w:autoSpaceDE w:val="0"/>
        <w:autoSpaceDN w:val="0"/>
        <w:spacing w:line="574"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sz w:val="32"/>
          <w:szCs w:val="32"/>
          <w:highlight w:val="none"/>
        </w:rPr>
        <w:t>城市更新单元应当以连片街区范围为标准，用地面积原则上不小于6.67公顷（折100亩）。</w:t>
      </w:r>
      <w:r>
        <w:rPr>
          <w:rFonts w:hint="eastAsia" w:ascii="仿宋_GB2312" w:hAnsi="仿宋_GB2312" w:eastAsia="仿宋_GB2312" w:cs="仿宋_GB2312"/>
          <w:kern w:val="0"/>
          <w:sz w:val="32"/>
          <w:szCs w:val="32"/>
          <w:highlight w:val="none"/>
        </w:rPr>
        <w:t>一个城市更新单元可以包括一个或多个改造项目。</w:t>
      </w:r>
    </w:p>
    <w:p>
      <w:pPr>
        <w:pStyle w:val="7"/>
        <w:widowControl w:val="0"/>
        <w:autoSpaceDE w:val="0"/>
        <w:autoSpaceDN w:val="0"/>
        <w:spacing w:line="574" w:lineRule="exact"/>
        <w:ind w:firstLine="640" w:firstLineChars="200"/>
        <w:jc w:val="both"/>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第十二条【单元计划编制】</w:t>
      </w:r>
      <w:r>
        <w:rPr>
          <w:rFonts w:hint="eastAsia" w:ascii="仿宋_GB2312" w:hAnsi="仿宋_GB2312" w:eastAsia="仿宋_GB2312" w:cs="仿宋_GB2312"/>
          <w:sz w:val="32"/>
          <w:szCs w:val="32"/>
          <w:highlight w:val="none"/>
        </w:rPr>
        <w:t>单元计划以城市更新单元为基本单位，指导单元规划编制和项目实施计划制定。单元计划应当结合国土空间总体规划管控要求，与周边区域的城市功能衔接，主要内容包括发展定位、项目划定、规划优化、土地整备、专题评估、经济平衡测算、效益分析等。</w:t>
      </w:r>
    </w:p>
    <w:p>
      <w:pPr>
        <w:pStyle w:val="7"/>
        <w:widowControl w:val="0"/>
        <w:autoSpaceDE w:val="0"/>
        <w:autoSpaceDN w:val="0"/>
        <w:spacing w:line="574"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sz w:val="32"/>
          <w:szCs w:val="32"/>
          <w:highlight w:val="none"/>
        </w:rPr>
        <w:t>单元计划经市政府批准后，作为该单元</w:t>
      </w:r>
      <w:r>
        <w:rPr>
          <w:rFonts w:hint="eastAsia" w:ascii="仿宋_GB2312" w:hAnsi="仿宋_GB2312" w:eastAsia="仿宋_GB2312" w:cs="仿宋_GB2312"/>
          <w:sz w:val="32"/>
          <w:szCs w:val="32"/>
          <w:highlight w:val="none"/>
          <w:lang w:val="en-US" w:eastAsia="zh-CN"/>
        </w:rPr>
        <w:t>内</w:t>
      </w:r>
      <w:r>
        <w:rPr>
          <w:rFonts w:hint="eastAsia" w:ascii="仿宋_GB2312" w:hAnsi="仿宋_GB2312" w:eastAsia="仿宋_GB2312" w:cs="仿宋_GB2312"/>
          <w:sz w:val="32"/>
          <w:szCs w:val="32"/>
          <w:highlight w:val="none"/>
        </w:rPr>
        <w:t>改造项目正式启动的依据。编制单元计划应同步编制城市设计方案，同时由</w:t>
      </w:r>
      <w:r>
        <w:rPr>
          <w:rFonts w:hint="eastAsia" w:ascii="仿宋_GB2312" w:hAnsi="仿宋_GB2312" w:eastAsia="仿宋_GB2312" w:cs="仿宋_GB2312"/>
          <w:kern w:val="2"/>
          <w:sz w:val="32"/>
          <w:szCs w:val="32"/>
          <w:highlight w:val="none"/>
        </w:rPr>
        <w:t>属地</w:t>
      </w:r>
      <w:r>
        <w:rPr>
          <w:rFonts w:hint="eastAsia" w:ascii="仿宋_GB2312" w:hAnsi="仿宋_GB2312" w:eastAsia="仿宋_GB2312" w:cs="仿宋_GB2312"/>
          <w:kern w:val="2"/>
          <w:sz w:val="32"/>
          <w:szCs w:val="32"/>
          <w:highlight w:val="none"/>
          <w:lang w:eastAsia="zh-CN"/>
        </w:rPr>
        <w:t>镇街政府</w:t>
      </w:r>
      <w:r>
        <w:rPr>
          <w:rFonts w:hint="eastAsia" w:ascii="仿宋_GB2312" w:hAnsi="仿宋_GB2312" w:eastAsia="仿宋_GB2312" w:cs="仿宋_GB2312"/>
          <w:kern w:val="2"/>
          <w:sz w:val="32"/>
          <w:szCs w:val="32"/>
          <w:highlight w:val="none"/>
        </w:rPr>
        <w:t>负责编制社会风险稳定评估报告。</w:t>
      </w:r>
    </w:p>
    <w:p>
      <w:pPr>
        <w:pStyle w:val="7"/>
        <w:widowControl w:val="0"/>
        <w:autoSpaceDE w:val="0"/>
        <w:autoSpaceDN w:val="0"/>
        <w:spacing w:line="574" w:lineRule="exact"/>
        <w:ind w:firstLine="616" w:firstLineChars="200"/>
        <w:jc w:val="both"/>
        <w:rPr>
          <w:rFonts w:ascii="仿宋_GB2312" w:hAnsi="仿宋_GB2312" w:eastAsia="仿宋_GB2312" w:cs="仿宋_GB2312"/>
          <w:spacing w:val="-6"/>
          <w:sz w:val="32"/>
          <w:szCs w:val="32"/>
          <w:highlight w:val="none"/>
        </w:rPr>
      </w:pPr>
      <w:r>
        <w:rPr>
          <w:rFonts w:hint="eastAsia" w:ascii="黑体" w:hAnsi="黑体" w:eastAsia="黑体" w:cs="黑体"/>
          <w:spacing w:val="-6"/>
          <w:sz w:val="32"/>
          <w:szCs w:val="32"/>
          <w:highlight w:val="none"/>
        </w:rPr>
        <w:t>第十三条【开发量测算】</w:t>
      </w:r>
      <w:r>
        <w:rPr>
          <w:rFonts w:hint="eastAsia" w:ascii="仿宋_GB2312" w:hAnsi="仿宋_GB2312" w:eastAsia="仿宋_GB2312" w:cs="仿宋_GB2312"/>
          <w:spacing w:val="-6"/>
          <w:sz w:val="32"/>
          <w:szCs w:val="32"/>
          <w:highlight w:val="none"/>
        </w:rPr>
        <w:t>城市更新单元内的开发建设量</w:t>
      </w:r>
      <w:r>
        <w:rPr>
          <w:rFonts w:hint="eastAsia" w:ascii="仿宋_GB2312" w:hAnsi="仿宋_GB2312" w:eastAsia="仿宋_GB2312" w:cs="仿宋_GB2312"/>
          <w:spacing w:val="-6"/>
          <w:sz w:val="32"/>
          <w:szCs w:val="32"/>
          <w:highlight w:val="none"/>
          <w:lang w:val="en-US" w:eastAsia="zh-CN"/>
        </w:rPr>
        <w:t>包括</w:t>
      </w:r>
      <w:r>
        <w:rPr>
          <w:rFonts w:hint="eastAsia" w:ascii="仿宋_GB2312" w:hAnsi="仿宋_GB2312" w:eastAsia="仿宋_GB2312" w:cs="仿宋_GB2312"/>
          <w:spacing w:val="-6"/>
          <w:sz w:val="32"/>
          <w:szCs w:val="32"/>
          <w:highlight w:val="none"/>
        </w:rPr>
        <w:t>基础开发量和允许开发量。其中，基础开发量由成本开发量和补偿开发量构成，通过成本修正系数法确定；允许开发量通过城市设计确定</w:t>
      </w:r>
      <w:r>
        <w:rPr>
          <w:rFonts w:hint="eastAsia" w:ascii="仿宋_GB2312" w:hAnsi="仿宋_GB2312" w:eastAsia="仿宋_GB2312" w:cs="仿宋_GB2312"/>
          <w:spacing w:val="-6"/>
          <w:sz w:val="32"/>
          <w:szCs w:val="32"/>
          <w:highlight w:val="none"/>
          <w:lang w:eastAsia="zh-CN"/>
        </w:rPr>
        <w:t>，</w:t>
      </w:r>
      <w:r>
        <w:rPr>
          <w:rFonts w:hint="eastAsia" w:ascii="仿宋_GB2312" w:hAnsi="仿宋_GB2312" w:eastAsia="仿宋_GB2312" w:cs="仿宋_GB2312"/>
          <w:spacing w:val="-6"/>
          <w:sz w:val="32"/>
          <w:szCs w:val="32"/>
          <w:highlight w:val="none"/>
        </w:rPr>
        <w:t>以密度分区确定的最高容积率</w:t>
      </w:r>
      <w:r>
        <w:rPr>
          <w:rFonts w:hint="eastAsia" w:ascii="仿宋_GB2312" w:hAnsi="仿宋_GB2312" w:eastAsia="仿宋_GB2312" w:cs="仿宋_GB2312"/>
          <w:spacing w:val="-6"/>
          <w:sz w:val="32"/>
          <w:szCs w:val="32"/>
          <w:highlight w:val="none"/>
          <w:lang w:val="en-US" w:eastAsia="zh-CN"/>
        </w:rPr>
        <w:t>作为允许开发的</w:t>
      </w:r>
      <w:r>
        <w:rPr>
          <w:rFonts w:hint="eastAsia" w:ascii="仿宋_GB2312" w:hAnsi="仿宋_GB2312" w:eastAsia="仿宋_GB2312" w:cs="仿宋_GB2312"/>
          <w:spacing w:val="-6"/>
          <w:sz w:val="32"/>
          <w:szCs w:val="32"/>
          <w:highlight w:val="none"/>
        </w:rPr>
        <w:t>容积率上限。</w:t>
      </w:r>
    </w:p>
    <w:p>
      <w:pPr>
        <w:pStyle w:val="7"/>
        <w:widowControl w:val="0"/>
        <w:autoSpaceDE w:val="0"/>
        <w:autoSpaceDN w:val="0"/>
        <w:spacing w:line="574" w:lineRule="exact"/>
        <w:ind w:firstLine="616" w:firstLineChars="200"/>
        <w:jc w:val="both"/>
        <w:rPr>
          <w:rFonts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允许开发量低于基础开发量的</w:t>
      </w:r>
      <w:r>
        <w:rPr>
          <w:rFonts w:hint="eastAsia" w:ascii="仿宋_GB2312" w:hAnsi="仿宋_GB2312" w:eastAsia="仿宋_GB2312" w:cs="仿宋_GB2312"/>
          <w:spacing w:val="-6"/>
          <w:sz w:val="32"/>
          <w:szCs w:val="32"/>
          <w:highlight w:val="none"/>
          <w:lang w:val="en-US" w:eastAsia="zh-CN"/>
        </w:rPr>
        <w:t>更新单元，</w:t>
      </w:r>
      <w:r>
        <w:rPr>
          <w:rFonts w:hint="eastAsia" w:ascii="仿宋_GB2312" w:hAnsi="仿宋_GB2312" w:eastAsia="仿宋_GB2312" w:cs="仿宋_GB2312"/>
          <w:spacing w:val="-6"/>
          <w:sz w:val="32"/>
          <w:szCs w:val="32"/>
          <w:highlight w:val="none"/>
        </w:rPr>
        <w:t>原则上不纳入全面改造计划。</w:t>
      </w:r>
    </w:p>
    <w:p>
      <w:pPr>
        <w:autoSpaceDE w:val="0"/>
        <w:autoSpaceDN w:val="0"/>
        <w:spacing w:line="574" w:lineRule="exact"/>
        <w:ind w:firstLine="640" w:firstLineChars="200"/>
        <w:rPr>
          <w:rFonts w:ascii="仿宋_GB2312" w:hAnsi="仿宋_GB2312" w:eastAsia="仿宋_GB2312" w:cs="仿宋_GB2312"/>
          <w:sz w:val="32"/>
          <w:szCs w:val="32"/>
          <w:highlight w:val="none"/>
        </w:rPr>
      </w:pPr>
      <w:bookmarkStart w:id="0" w:name="_Hlk513983694"/>
      <w:r>
        <w:rPr>
          <w:rFonts w:hint="eastAsia" w:ascii="黑体" w:hAnsi="黑体" w:eastAsia="黑体" w:cs="黑体"/>
          <w:sz w:val="32"/>
          <w:szCs w:val="32"/>
          <w:highlight w:val="none"/>
        </w:rPr>
        <w:t>第十四条【单元规划编制】</w:t>
      </w:r>
      <w:r>
        <w:rPr>
          <w:rFonts w:hint="eastAsia" w:ascii="仿宋_GB2312" w:hAnsi="仿宋_GB2312" w:eastAsia="仿宋_GB2312" w:cs="仿宋_GB2312"/>
          <w:sz w:val="32"/>
          <w:szCs w:val="32"/>
          <w:highlight w:val="none"/>
        </w:rPr>
        <w:t>单元规划依据国土空间规划</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城市更新专项规划、单元计划进行编制，对更新单元的发展定位、空间布局、开发建设指标等方面做出具体规划和管控要求。</w:t>
      </w:r>
    </w:p>
    <w:p>
      <w:pPr>
        <w:autoSpaceDE w:val="0"/>
        <w:autoSpaceDN w:val="0"/>
        <w:spacing w:line="574" w:lineRule="exact"/>
        <w:ind w:firstLine="640" w:firstLineChars="200"/>
        <w:rPr>
          <w:rFonts w:ascii="仿宋_GB2312" w:hAnsi="仿宋_GB2312" w:eastAsia="仿宋_GB2312" w:cs="仿宋_GB2312"/>
          <w:kern w:val="44"/>
          <w:sz w:val="32"/>
          <w:szCs w:val="32"/>
          <w:highlight w:val="none"/>
        </w:rPr>
      </w:pPr>
      <w:r>
        <w:rPr>
          <w:rFonts w:hint="eastAsia" w:ascii="仿宋_GB2312" w:eastAsia="仿宋_GB2312"/>
          <w:sz w:val="32"/>
          <w:szCs w:val="32"/>
          <w:highlight w:val="none"/>
        </w:rPr>
        <w:t>单元规划按程序经市政府批准后，</w:t>
      </w:r>
      <w:r>
        <w:rPr>
          <w:rFonts w:hint="eastAsia" w:ascii="仿宋_GB2312" w:hAnsi="仿宋_GB2312" w:eastAsia="仿宋_GB2312" w:cs="仿宋_GB2312"/>
          <w:kern w:val="44"/>
          <w:sz w:val="32"/>
          <w:szCs w:val="32"/>
          <w:highlight w:val="none"/>
        </w:rPr>
        <w:t>直接覆盖原控制性详细规划。</w:t>
      </w:r>
    </w:p>
    <w:p>
      <w:pPr>
        <w:autoSpaceDE w:val="0"/>
        <w:autoSpaceDN w:val="0"/>
        <w:spacing w:line="574" w:lineRule="exact"/>
        <w:ind w:firstLine="640" w:firstLineChars="200"/>
        <w:rPr>
          <w:rFonts w:ascii="仿宋_GB2312" w:hAnsi="仿宋_GB2312" w:eastAsia="仿宋_GB2312" w:cs="仿宋_GB2312"/>
          <w:kern w:val="0"/>
          <w:sz w:val="32"/>
          <w:szCs w:val="32"/>
          <w:highlight w:val="none"/>
        </w:rPr>
      </w:pPr>
      <w:r>
        <w:rPr>
          <w:rFonts w:hint="eastAsia" w:ascii="黑体" w:hAnsi="黑体" w:eastAsia="黑体" w:cs="黑体"/>
          <w:sz w:val="32"/>
          <w:szCs w:val="32"/>
          <w:highlight w:val="none"/>
        </w:rPr>
        <w:t>第十五条</w:t>
      </w:r>
      <w:r>
        <w:rPr>
          <w:rFonts w:hint="eastAsia" w:ascii="黑体" w:hAnsi="黑体" w:eastAsia="黑体" w:cs="黑体"/>
          <w:kern w:val="0"/>
          <w:sz w:val="32"/>
          <w:szCs w:val="32"/>
          <w:highlight w:val="none"/>
        </w:rPr>
        <w:t>【用地贡献】</w:t>
      </w:r>
      <w:bookmarkEnd w:id="0"/>
      <w:r>
        <w:rPr>
          <w:rFonts w:hint="eastAsia" w:ascii="仿宋_GB2312" w:hAnsi="仿宋_GB2312" w:eastAsia="仿宋_GB2312" w:cs="仿宋_GB2312"/>
          <w:kern w:val="0"/>
          <w:sz w:val="32"/>
          <w:szCs w:val="32"/>
          <w:highlight w:val="none"/>
        </w:rPr>
        <w:t>全面改造项目要结合项目用地情况，须无偿移交政府建设用地或建筑面积：</w:t>
      </w:r>
    </w:p>
    <w:p>
      <w:pPr>
        <w:autoSpaceDE w:val="0"/>
        <w:autoSpaceDN w:val="0"/>
        <w:spacing w:line="574" w:lineRule="exact"/>
        <w:ind w:firstLine="616" w:firstLineChars="200"/>
        <w:rPr>
          <w:rFonts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（一）通过编制单元规划实施的，无偿移交建设用地面积不小于项目总用地面积的15%，且不小于3000平方米；按前述比例计算用地面积小于3000平方米的，应改为无偿移交不少于项目计容总建筑面积1</w:t>
      </w:r>
      <w:r>
        <w:rPr>
          <w:rFonts w:hint="eastAsia" w:ascii="仿宋_GB2312" w:hAnsi="仿宋_GB2312" w:eastAsia="仿宋_GB2312" w:cs="仿宋_GB2312"/>
          <w:spacing w:val="-6"/>
          <w:kern w:val="0"/>
          <w:sz w:val="32"/>
          <w:szCs w:val="32"/>
          <w:highlight w:val="none"/>
          <w:lang w:val="en-US" w:eastAsia="zh-CN"/>
        </w:rPr>
        <w:t>0</w:t>
      </w:r>
      <w:r>
        <w:rPr>
          <w:rFonts w:hint="eastAsia" w:ascii="仿宋_GB2312" w:hAnsi="仿宋_GB2312" w:eastAsia="仿宋_GB2312" w:cs="仿宋_GB2312"/>
          <w:spacing w:val="-6"/>
          <w:kern w:val="0"/>
          <w:sz w:val="32"/>
          <w:szCs w:val="32"/>
          <w:highlight w:val="none"/>
        </w:rPr>
        <w:t>%的建筑面积。</w:t>
      </w:r>
    </w:p>
    <w:p>
      <w:pPr>
        <w:autoSpaceDE w:val="0"/>
        <w:autoSpaceDN w:val="0"/>
        <w:spacing w:line="574" w:lineRule="exact"/>
        <w:ind w:firstLine="616" w:firstLineChars="200"/>
        <w:rPr>
          <w:rFonts w:hint="eastAsia" w:ascii="仿宋_GB2312" w:hAnsi="仿宋_GB2312" w:eastAsia="仿宋_GB2312" w:cs="仿宋_GB2312"/>
          <w:spacing w:val="-6"/>
          <w:kern w:val="0"/>
          <w:sz w:val="32"/>
          <w:szCs w:val="32"/>
          <w:highlight w:val="none"/>
          <w:lang w:eastAsia="zh-CN"/>
        </w:rPr>
      </w:pPr>
      <w:r>
        <w:rPr>
          <w:rFonts w:hint="eastAsia" w:ascii="仿宋_GB2312" w:hAnsi="仿宋_GB2312" w:eastAsia="仿宋_GB2312" w:cs="仿宋_GB2312"/>
          <w:spacing w:val="-6"/>
          <w:kern w:val="0"/>
          <w:sz w:val="32"/>
          <w:szCs w:val="32"/>
          <w:highlight w:val="none"/>
        </w:rPr>
        <w:t>（二）按现行控制性详细规划实施的，无偿移交不少于项目总计容面积</w:t>
      </w:r>
      <w:r>
        <w:rPr>
          <w:rFonts w:ascii="仿宋_GB2312" w:hAnsi="仿宋_GB2312" w:eastAsia="仿宋_GB2312" w:cs="仿宋_GB2312"/>
          <w:spacing w:val="-6"/>
          <w:kern w:val="0"/>
          <w:sz w:val="32"/>
          <w:szCs w:val="32"/>
          <w:highlight w:val="none"/>
        </w:rPr>
        <w:t>1</w:t>
      </w:r>
      <w:r>
        <w:rPr>
          <w:rFonts w:hint="eastAsia" w:ascii="仿宋_GB2312" w:hAnsi="仿宋_GB2312" w:eastAsia="仿宋_GB2312" w:cs="仿宋_GB2312"/>
          <w:spacing w:val="-6"/>
          <w:kern w:val="0"/>
          <w:sz w:val="32"/>
          <w:szCs w:val="32"/>
          <w:highlight w:val="none"/>
          <w:lang w:val="en-US" w:eastAsia="zh-CN"/>
        </w:rPr>
        <w:t>0</w:t>
      </w:r>
      <w:r>
        <w:rPr>
          <w:rFonts w:ascii="仿宋_GB2312" w:hAnsi="仿宋_GB2312" w:eastAsia="仿宋_GB2312" w:cs="仿宋_GB2312"/>
          <w:spacing w:val="-6"/>
          <w:kern w:val="0"/>
          <w:sz w:val="32"/>
          <w:szCs w:val="32"/>
          <w:highlight w:val="none"/>
        </w:rPr>
        <w:t>%</w:t>
      </w:r>
      <w:r>
        <w:rPr>
          <w:rFonts w:hint="eastAsia" w:ascii="仿宋_GB2312" w:hAnsi="仿宋_GB2312" w:eastAsia="仿宋_GB2312" w:cs="仿宋_GB2312"/>
          <w:spacing w:val="-6"/>
          <w:kern w:val="0"/>
          <w:sz w:val="32"/>
          <w:szCs w:val="32"/>
          <w:highlight w:val="none"/>
        </w:rPr>
        <w:t>的建筑面积</w:t>
      </w:r>
      <w:r>
        <w:rPr>
          <w:rFonts w:hint="eastAsia" w:ascii="仿宋_GB2312" w:hAnsi="仿宋_GB2312" w:eastAsia="仿宋_GB2312" w:cs="仿宋_GB2312"/>
          <w:spacing w:val="-6"/>
          <w:kern w:val="0"/>
          <w:sz w:val="32"/>
          <w:szCs w:val="32"/>
          <w:highlight w:val="none"/>
          <w:lang w:eastAsia="zh-CN"/>
        </w:rPr>
        <w:t>。</w:t>
      </w:r>
    </w:p>
    <w:p>
      <w:pPr>
        <w:autoSpaceDE w:val="0"/>
        <w:autoSpaceDN w:val="0"/>
        <w:spacing w:line="574" w:lineRule="exact"/>
        <w:ind w:firstLine="616" w:firstLineChars="200"/>
        <w:rPr>
          <w:rFonts w:hint="eastAsia" w:ascii="仿宋_GB2312" w:hAnsi="仿宋_GB2312" w:eastAsia="仿宋_GB2312" w:cs="仿宋_GB2312"/>
          <w:spacing w:val="-6"/>
          <w:kern w:val="0"/>
          <w:sz w:val="32"/>
          <w:szCs w:val="32"/>
          <w:highlight w:val="none"/>
          <w:lang w:val="en-US" w:eastAsia="zh-CN"/>
        </w:rPr>
      </w:pPr>
      <w:r>
        <w:rPr>
          <w:rFonts w:hint="eastAsia" w:ascii="仿宋_GB2312" w:hAnsi="仿宋_GB2312" w:eastAsia="仿宋_GB2312" w:cs="仿宋_GB2312"/>
          <w:spacing w:val="-6"/>
          <w:kern w:val="0"/>
          <w:sz w:val="32"/>
          <w:szCs w:val="32"/>
          <w:highlight w:val="none"/>
          <w:lang w:val="en-US" w:eastAsia="zh-CN"/>
        </w:rPr>
        <w:t>（三）上述无偿移交的建筑面积须以</w:t>
      </w:r>
      <w:r>
        <w:rPr>
          <w:rFonts w:hint="eastAsia" w:ascii="仿宋_GB2312" w:hAnsi="仿宋_GB2312" w:eastAsia="仿宋_GB2312" w:cs="仿宋_GB2312"/>
          <w:spacing w:val="-6"/>
          <w:kern w:val="0"/>
          <w:sz w:val="32"/>
          <w:szCs w:val="32"/>
          <w:highlight w:val="none"/>
        </w:rPr>
        <w:t>幢、梯或层</w:t>
      </w:r>
      <w:r>
        <w:rPr>
          <w:rFonts w:hint="eastAsia" w:ascii="仿宋_GB2312" w:hAnsi="仿宋_GB2312" w:eastAsia="仿宋_GB2312" w:cs="仿宋_GB2312"/>
          <w:spacing w:val="-6"/>
          <w:kern w:val="0"/>
          <w:sz w:val="32"/>
          <w:szCs w:val="32"/>
          <w:highlight w:val="none"/>
          <w:lang w:val="en-US" w:eastAsia="zh-CN"/>
        </w:rPr>
        <w:t>为基本单位，具体</w:t>
      </w:r>
      <w:r>
        <w:rPr>
          <w:rFonts w:hint="eastAsia" w:ascii="仿宋_GB2312" w:hAnsi="仿宋_GB2312" w:eastAsia="仿宋_GB2312" w:cs="仿宋_GB2312"/>
          <w:spacing w:val="-6"/>
          <w:kern w:val="0"/>
          <w:sz w:val="32"/>
          <w:szCs w:val="32"/>
          <w:highlight w:val="none"/>
        </w:rPr>
        <w:t>参照国有建设用地出让配建房有关规定执行。</w:t>
      </w:r>
    </w:p>
    <w:p>
      <w:pPr>
        <w:autoSpaceDE w:val="0"/>
        <w:autoSpaceDN w:val="0"/>
        <w:spacing w:line="574" w:lineRule="exact"/>
        <w:ind w:firstLine="640" w:firstLineChars="200"/>
        <w:rPr>
          <w:rFonts w:ascii="仿宋_GB2312" w:hAnsi="仿宋_GB2312" w:eastAsia="仿宋_GB2312" w:cs="仿宋_GB2312"/>
          <w:bCs/>
          <w:spacing w:val="-6"/>
          <w:kern w:val="0"/>
          <w:sz w:val="32"/>
          <w:szCs w:val="32"/>
          <w:highlight w:val="none"/>
        </w:rPr>
      </w:pPr>
      <w:r>
        <w:rPr>
          <w:rFonts w:hint="eastAsia" w:ascii="仿宋_GB2312" w:hAnsi="仿宋_GB2312" w:eastAsia="仿宋_GB2312" w:cs="仿宋_GB2312"/>
          <w:kern w:val="0"/>
          <w:sz w:val="32"/>
          <w:szCs w:val="32"/>
          <w:highlight w:val="none"/>
        </w:rPr>
        <w:t>“工改工”项目和改造为非经营性用途的项目</w:t>
      </w:r>
      <w:r>
        <w:rPr>
          <w:rFonts w:hint="eastAsia" w:ascii="仿宋_GB2312" w:hAnsi="仿宋_GB2312" w:eastAsia="仿宋_GB2312" w:cs="仿宋_GB2312"/>
          <w:kern w:val="0"/>
          <w:sz w:val="32"/>
          <w:szCs w:val="32"/>
          <w:highlight w:val="none"/>
          <w:lang w:val="en-US" w:eastAsia="zh-CN"/>
        </w:rPr>
        <w:t>无</w:t>
      </w:r>
      <w:r>
        <w:rPr>
          <w:rFonts w:hint="eastAsia" w:ascii="仿宋_GB2312" w:hAnsi="仿宋_GB2312" w:eastAsia="仿宋_GB2312" w:cs="仿宋_GB2312"/>
          <w:kern w:val="0"/>
          <w:sz w:val="32"/>
          <w:szCs w:val="32"/>
          <w:highlight w:val="none"/>
        </w:rPr>
        <w:t>需向政府</w:t>
      </w:r>
      <w:r>
        <w:rPr>
          <w:rFonts w:hint="eastAsia" w:ascii="仿宋_GB2312" w:hAnsi="仿宋_GB2312" w:eastAsia="仿宋_GB2312" w:cs="仿宋_GB2312"/>
          <w:kern w:val="0"/>
          <w:sz w:val="32"/>
          <w:szCs w:val="32"/>
          <w:highlight w:val="none"/>
          <w:lang w:val="en-US" w:eastAsia="zh-CN"/>
        </w:rPr>
        <w:t>无偿</w:t>
      </w:r>
      <w:r>
        <w:rPr>
          <w:rFonts w:hint="eastAsia" w:ascii="仿宋_GB2312" w:hAnsi="仿宋_GB2312" w:eastAsia="仿宋_GB2312" w:cs="仿宋_GB2312"/>
          <w:kern w:val="0"/>
          <w:sz w:val="32"/>
          <w:szCs w:val="32"/>
          <w:highlight w:val="none"/>
        </w:rPr>
        <w:t>移交建设用地或建筑面积</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bCs/>
          <w:spacing w:val="-6"/>
          <w:kern w:val="0"/>
          <w:sz w:val="32"/>
          <w:szCs w:val="32"/>
          <w:highlight w:val="none"/>
        </w:rPr>
        <w:t>政府通过征收、收回土地使用权（第二十四条情形除外）后再次供地的，按照我市国有建设用地公开出让有关规定执行。</w:t>
      </w:r>
    </w:p>
    <w:p>
      <w:pPr>
        <w:autoSpaceDE w:val="0"/>
        <w:autoSpaceDN w:val="0"/>
        <w:spacing w:line="574" w:lineRule="exact"/>
        <w:ind w:firstLine="616" w:firstLineChars="200"/>
        <w:rPr>
          <w:rFonts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旧村庄、旧城镇连片改造项目无偿移交政府的建设用地原则上须按照</w:t>
      </w:r>
      <w:r>
        <w:rPr>
          <w:rFonts w:hint="eastAsia" w:ascii="仿宋_GB2312" w:hAnsi="仿宋_GB2312" w:eastAsia="仿宋_GB2312" w:cs="仿宋_GB2312"/>
          <w:spacing w:val="-6"/>
          <w:kern w:val="0"/>
          <w:sz w:val="32"/>
          <w:szCs w:val="32"/>
          <w:highlight w:val="none"/>
          <w:lang w:val="en-US" w:eastAsia="zh-CN"/>
        </w:rPr>
        <w:t>单元</w:t>
      </w:r>
      <w:r>
        <w:rPr>
          <w:rFonts w:hint="eastAsia" w:ascii="仿宋_GB2312" w:hAnsi="仿宋_GB2312" w:eastAsia="仿宋_GB2312" w:cs="仿宋_GB2312"/>
          <w:spacing w:val="-6"/>
          <w:kern w:val="0"/>
          <w:sz w:val="32"/>
          <w:szCs w:val="32"/>
          <w:highlight w:val="none"/>
        </w:rPr>
        <w:t>规划配建，所需成本纳入基础开发量核算。</w:t>
      </w:r>
    </w:p>
    <w:p>
      <w:pPr>
        <w:pStyle w:val="2"/>
        <w:keepNext w:val="0"/>
        <w:keepLines w:val="0"/>
        <w:autoSpaceDE w:val="0"/>
        <w:autoSpaceDN w:val="0"/>
        <w:spacing w:line="560" w:lineRule="exact"/>
        <w:rPr>
          <w:highlight w:val="none"/>
        </w:rPr>
      </w:pPr>
    </w:p>
    <w:p>
      <w:pPr>
        <w:pStyle w:val="7"/>
        <w:widowControl w:val="0"/>
        <w:autoSpaceDE w:val="0"/>
        <w:autoSpaceDN w:val="0"/>
        <w:spacing w:line="560" w:lineRule="exact"/>
        <w:jc w:val="center"/>
        <w:rPr>
          <w:rFonts w:ascii="黑体" w:hAnsi="黑体" w:eastAsia="黑体" w:cs="黑体"/>
          <w:spacing w:val="-6"/>
          <w:sz w:val="32"/>
          <w:szCs w:val="32"/>
          <w:highlight w:val="none"/>
        </w:rPr>
      </w:pPr>
      <w:r>
        <w:rPr>
          <w:rFonts w:hint="eastAsia" w:ascii="黑体" w:hAnsi="黑体" w:eastAsia="黑体" w:cs="黑体"/>
          <w:spacing w:val="-6"/>
          <w:sz w:val="32"/>
          <w:szCs w:val="32"/>
          <w:highlight w:val="none"/>
        </w:rPr>
        <w:t>第三章   项目实施</w:t>
      </w:r>
    </w:p>
    <w:p>
      <w:pPr>
        <w:pStyle w:val="7"/>
        <w:widowControl w:val="0"/>
        <w:autoSpaceDE w:val="0"/>
        <w:autoSpaceDN w:val="0"/>
        <w:spacing w:line="560" w:lineRule="exact"/>
        <w:jc w:val="both"/>
        <w:rPr>
          <w:rFonts w:ascii="仿宋_GB2312" w:hAnsi="仿宋_GB2312" w:eastAsia="仿宋_GB2312" w:cs="仿宋_GB2312"/>
          <w:spacing w:val="-6"/>
          <w:sz w:val="32"/>
          <w:szCs w:val="32"/>
          <w:highlight w:val="none"/>
        </w:rPr>
      </w:pPr>
    </w:p>
    <w:p>
      <w:pPr>
        <w:autoSpaceDE w:val="0"/>
        <w:autoSpaceDN w:val="0"/>
        <w:spacing w:line="574"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第十六条【改造方案编制</w:t>
      </w:r>
      <w:r>
        <w:rPr>
          <w:rFonts w:hint="eastAsia" w:ascii="黑体" w:hAnsi="黑体" w:eastAsia="黑体" w:cs="黑体"/>
          <w:bCs/>
          <w:sz w:val="32"/>
          <w:szCs w:val="32"/>
          <w:highlight w:val="none"/>
        </w:rPr>
        <w:t>与审批</w:t>
      </w:r>
      <w:r>
        <w:rPr>
          <w:rFonts w:hint="eastAsia" w:ascii="黑体" w:hAnsi="黑体" w:eastAsia="黑体" w:cs="黑体"/>
          <w:sz w:val="32"/>
          <w:szCs w:val="32"/>
          <w:highlight w:val="none"/>
        </w:rPr>
        <w:t>】</w:t>
      </w:r>
      <w:r>
        <w:rPr>
          <w:rFonts w:hint="eastAsia" w:ascii="仿宋_GB2312" w:hAnsi="仿宋_GB2312" w:eastAsia="仿宋_GB2312" w:cs="仿宋_GB2312"/>
          <w:sz w:val="32"/>
          <w:szCs w:val="32"/>
          <w:highlight w:val="none"/>
        </w:rPr>
        <w:t>城市更新项目应编制项目改造方案，经批准后方可享受相关优惠政策。</w:t>
      </w:r>
    </w:p>
    <w:p>
      <w:pPr>
        <w:pStyle w:val="2"/>
        <w:keepNext w:val="0"/>
        <w:keepLines w:val="0"/>
        <w:autoSpaceDE w:val="0"/>
        <w:autoSpaceDN w:val="0"/>
        <w:spacing w:line="574" w:lineRule="exact"/>
        <w:ind w:firstLine="640" w:firstLineChars="200"/>
        <w:jc w:val="both"/>
        <w:rPr>
          <w:rFonts w:ascii="仿宋_GB2312" w:hAnsi="仿宋_GB2312" w:eastAsia="仿宋_GB2312" w:cs="仿宋_GB2312"/>
          <w:bCs w:val="0"/>
          <w:sz w:val="32"/>
          <w:szCs w:val="32"/>
          <w:highlight w:val="none"/>
        </w:rPr>
      </w:pPr>
      <w:r>
        <w:rPr>
          <w:rFonts w:hint="eastAsia" w:ascii="仿宋_GB2312" w:hAnsi="仿宋_GB2312" w:eastAsia="仿宋_GB2312" w:cs="仿宋_GB2312"/>
          <w:bCs w:val="0"/>
          <w:sz w:val="32"/>
          <w:szCs w:val="32"/>
          <w:highlight w:val="none"/>
        </w:rPr>
        <w:t>项目改造方案依据城市更新专项规划、控制性详细规划（或单元规划）编制，明确改造地块基本情况、</w:t>
      </w:r>
      <w:r>
        <w:rPr>
          <w:rFonts w:hint="eastAsia" w:ascii="仿宋_GB2312" w:hAnsi="仿宋_GB2312" w:eastAsia="仿宋_GB2312" w:cs="仿宋_GB2312"/>
          <w:sz w:val="32"/>
          <w:szCs w:val="32"/>
          <w:highlight w:val="none"/>
        </w:rPr>
        <w:t>改造目标与功能业态、</w:t>
      </w:r>
      <w:r>
        <w:rPr>
          <w:rFonts w:hint="eastAsia" w:ascii="仿宋_GB2312" w:hAnsi="仿宋_GB2312" w:eastAsia="仿宋_GB2312" w:cs="仿宋_GB2312"/>
          <w:bCs w:val="0"/>
          <w:sz w:val="32"/>
          <w:szCs w:val="32"/>
          <w:highlight w:val="none"/>
        </w:rPr>
        <w:t>改造主体</w:t>
      </w:r>
      <w:r>
        <w:rPr>
          <w:rFonts w:hint="eastAsia" w:ascii="仿宋_GB2312" w:hAnsi="仿宋_GB2312" w:eastAsia="仿宋_GB2312" w:cs="仿宋_GB2312"/>
          <w:bCs w:val="0"/>
          <w:sz w:val="32"/>
          <w:szCs w:val="32"/>
          <w:highlight w:val="none"/>
          <w:lang w:eastAsia="zh-CN"/>
        </w:rPr>
        <w:t>、</w:t>
      </w:r>
      <w:r>
        <w:rPr>
          <w:rFonts w:hint="eastAsia" w:ascii="仿宋_GB2312" w:hAnsi="仿宋_GB2312" w:eastAsia="仿宋_GB2312" w:cs="仿宋_GB2312"/>
          <w:bCs w:val="0"/>
          <w:sz w:val="32"/>
          <w:szCs w:val="32"/>
          <w:highlight w:val="none"/>
        </w:rPr>
        <w:t>补偿安置、供地方式、时序安排、监管保障、预期</w:t>
      </w:r>
      <w:r>
        <w:rPr>
          <w:rFonts w:hint="eastAsia" w:ascii="仿宋_GB2312" w:hAnsi="仿宋_GB2312" w:eastAsia="仿宋_GB2312" w:cs="仿宋_GB2312"/>
          <w:sz w:val="32"/>
          <w:szCs w:val="32"/>
          <w:highlight w:val="none"/>
        </w:rPr>
        <w:t>效益</w:t>
      </w:r>
      <w:r>
        <w:rPr>
          <w:rFonts w:hint="eastAsia" w:ascii="仿宋_GB2312" w:hAnsi="仿宋_GB2312" w:eastAsia="仿宋_GB2312" w:cs="仿宋_GB2312"/>
          <w:bCs w:val="0"/>
          <w:sz w:val="32"/>
          <w:szCs w:val="32"/>
          <w:highlight w:val="none"/>
        </w:rPr>
        <w:t>等基本内容。涉及不同权利主体多宗用地整合连片改造的项目，改造方案还应增加土地整备、地价评估、利益分配、经济平衡与资金安排等内容。</w:t>
      </w:r>
      <w:r>
        <w:rPr>
          <w:rFonts w:hint="eastAsia" w:ascii="仿宋_GB2312" w:hAnsi="仿宋_GB2312" w:eastAsia="仿宋_GB2312" w:cs="仿宋_GB2312"/>
          <w:sz w:val="32"/>
          <w:szCs w:val="32"/>
          <w:highlight w:val="none"/>
        </w:rPr>
        <w:t>涉及历史文化遗存保</w:t>
      </w:r>
      <w:r>
        <w:rPr>
          <w:rFonts w:hint="eastAsia" w:ascii="仿宋_GB2312" w:hAnsi="仿宋_GB2312" w:eastAsia="仿宋_GB2312" w:cs="仿宋_GB2312"/>
          <w:bCs w:val="0"/>
          <w:sz w:val="32"/>
          <w:szCs w:val="32"/>
          <w:highlight w:val="none"/>
        </w:rPr>
        <w:t>护的，改造方案应当提出相应的保护管理措施。</w:t>
      </w:r>
    </w:p>
    <w:p>
      <w:pPr>
        <w:autoSpaceDE w:val="0"/>
        <w:autoSpaceDN w:val="0"/>
        <w:spacing w:line="574" w:lineRule="exact"/>
        <w:ind w:firstLine="640" w:firstLineChars="200"/>
        <w:rPr>
          <w:rFonts w:ascii="仿宋_GB2312" w:hAnsi="仿宋_GB2312" w:eastAsia="仿宋_GB2312" w:cs="仿宋_GB2312"/>
          <w:kern w:val="44"/>
          <w:sz w:val="32"/>
          <w:szCs w:val="32"/>
          <w:highlight w:val="none"/>
        </w:rPr>
      </w:pPr>
      <w:r>
        <w:rPr>
          <w:rFonts w:hint="eastAsia" w:ascii="仿宋_GB2312" w:hAnsi="仿宋_GB2312" w:eastAsia="仿宋_GB2312" w:cs="仿宋_GB2312"/>
          <w:kern w:val="44"/>
          <w:sz w:val="32"/>
          <w:szCs w:val="32"/>
          <w:highlight w:val="none"/>
        </w:rPr>
        <w:t>经批准的改造方案原则不得调整。确需调整的，</w:t>
      </w:r>
      <w:r>
        <w:rPr>
          <w:rFonts w:hint="eastAsia" w:ascii="仿宋_GB2312" w:hAnsi="仿宋_GB2312" w:eastAsia="仿宋_GB2312" w:cs="仿宋_GB2312"/>
          <w:kern w:val="44"/>
          <w:sz w:val="32"/>
          <w:szCs w:val="32"/>
          <w:highlight w:val="none"/>
          <w:lang w:val="en-US" w:eastAsia="zh-CN"/>
        </w:rPr>
        <w:t>应当</w:t>
      </w:r>
      <w:r>
        <w:rPr>
          <w:rFonts w:hint="eastAsia" w:ascii="仿宋_GB2312" w:hAnsi="仿宋_GB2312" w:eastAsia="仿宋_GB2312" w:cs="仿宋_GB2312"/>
          <w:kern w:val="44"/>
          <w:sz w:val="32"/>
          <w:szCs w:val="32"/>
          <w:highlight w:val="none"/>
        </w:rPr>
        <w:t>按程序重新报批。</w:t>
      </w:r>
    </w:p>
    <w:p>
      <w:pPr>
        <w:autoSpaceDE w:val="0"/>
        <w:autoSpaceDN w:val="0"/>
        <w:spacing w:line="574" w:lineRule="exact"/>
        <w:ind w:firstLine="616" w:firstLineChars="200"/>
        <w:rPr>
          <w:rFonts w:ascii="仿宋_GB2312" w:hAnsi="仿宋_GB2312" w:eastAsia="仿宋_GB2312" w:cs="仿宋_GB2312"/>
          <w:spacing w:val="-6"/>
          <w:sz w:val="32"/>
          <w:szCs w:val="32"/>
          <w:highlight w:val="none"/>
        </w:rPr>
      </w:pPr>
      <w:r>
        <w:rPr>
          <w:rFonts w:hint="eastAsia" w:ascii="黑体" w:hAnsi="黑体" w:eastAsia="黑体" w:cs="黑体"/>
          <w:spacing w:val="-6"/>
          <w:sz w:val="32"/>
          <w:szCs w:val="32"/>
          <w:highlight w:val="none"/>
        </w:rPr>
        <w:t>第十七条【招商方案编制</w:t>
      </w:r>
      <w:r>
        <w:rPr>
          <w:rFonts w:hint="eastAsia" w:ascii="黑体" w:hAnsi="黑体" w:eastAsia="黑体" w:cs="黑体"/>
          <w:spacing w:val="-6"/>
          <w:sz w:val="32"/>
          <w:szCs w:val="32"/>
          <w:highlight w:val="none"/>
          <w:lang w:eastAsia="zh-CN"/>
        </w:rPr>
        <w:t>与审批</w:t>
      </w:r>
      <w:r>
        <w:rPr>
          <w:rFonts w:hint="eastAsia" w:ascii="黑体" w:hAnsi="黑体" w:eastAsia="黑体" w:cs="黑体"/>
          <w:spacing w:val="-6"/>
          <w:sz w:val="32"/>
          <w:szCs w:val="32"/>
          <w:highlight w:val="none"/>
        </w:rPr>
        <w:t>】</w:t>
      </w:r>
      <w:r>
        <w:rPr>
          <w:rFonts w:hint="eastAsia" w:ascii="仿宋_GB2312" w:hAnsi="仿宋_GB2312" w:eastAsia="仿宋_GB2312" w:cs="仿宋_GB2312"/>
          <w:spacing w:val="-6"/>
          <w:sz w:val="32"/>
          <w:szCs w:val="32"/>
          <w:highlight w:val="none"/>
          <w:lang w:val="en-US" w:eastAsia="zh-CN"/>
        </w:rPr>
        <w:t>政府主导改造、</w:t>
      </w:r>
      <w:r>
        <w:rPr>
          <w:rFonts w:hint="eastAsia" w:ascii="仿宋_GB2312" w:hAnsi="仿宋_GB2312" w:eastAsia="仿宋_GB2312" w:cs="仿宋_GB2312"/>
          <w:spacing w:val="-6"/>
          <w:sz w:val="32"/>
          <w:szCs w:val="32"/>
          <w:highlight w:val="none"/>
        </w:rPr>
        <w:t>村企合作</w:t>
      </w:r>
      <w:r>
        <w:rPr>
          <w:rFonts w:hint="eastAsia" w:ascii="仿宋_GB2312" w:hAnsi="仿宋_GB2312" w:eastAsia="仿宋_GB2312" w:cs="仿宋_GB2312"/>
          <w:spacing w:val="-6"/>
          <w:sz w:val="32"/>
          <w:szCs w:val="32"/>
          <w:highlight w:val="none"/>
          <w:lang w:val="en-US" w:eastAsia="zh-CN"/>
        </w:rPr>
        <w:t>改造</w:t>
      </w:r>
      <w:r>
        <w:rPr>
          <w:rFonts w:hint="eastAsia" w:ascii="仿宋_GB2312" w:hAnsi="仿宋_GB2312" w:eastAsia="仿宋_GB2312" w:cs="仿宋_GB2312"/>
          <w:spacing w:val="-6"/>
          <w:sz w:val="32"/>
          <w:szCs w:val="32"/>
          <w:highlight w:val="none"/>
        </w:rPr>
        <w:t>需公开引入市场主体参与的，应当编制招商方案</w:t>
      </w:r>
      <w:r>
        <w:rPr>
          <w:rFonts w:hint="eastAsia" w:ascii="仿宋_GB2312" w:hAnsi="仿宋_GB2312" w:eastAsia="仿宋_GB2312" w:cs="仿宋_GB2312"/>
          <w:spacing w:val="-6"/>
          <w:sz w:val="32"/>
          <w:szCs w:val="32"/>
          <w:highlight w:val="none"/>
          <w:lang w:eastAsia="zh-CN"/>
        </w:rPr>
        <w:t>，</w:t>
      </w:r>
      <w:r>
        <w:rPr>
          <w:rFonts w:hint="eastAsia" w:ascii="仿宋_GB2312" w:hAnsi="仿宋_GB2312" w:eastAsia="仿宋_GB2312" w:cs="仿宋_GB2312"/>
          <w:spacing w:val="-6"/>
          <w:sz w:val="32"/>
          <w:szCs w:val="32"/>
          <w:highlight w:val="none"/>
        </w:rPr>
        <w:t>按程序</w:t>
      </w:r>
      <w:r>
        <w:rPr>
          <w:rFonts w:hint="eastAsia" w:ascii="仿宋_GB2312" w:hAnsi="仿宋_GB2312" w:eastAsia="仿宋_GB2312" w:cs="仿宋_GB2312"/>
          <w:spacing w:val="-6"/>
          <w:sz w:val="32"/>
          <w:szCs w:val="32"/>
          <w:highlight w:val="none"/>
          <w:lang w:val="en-US" w:eastAsia="zh-CN"/>
        </w:rPr>
        <w:t>报</w:t>
      </w:r>
      <w:r>
        <w:rPr>
          <w:rFonts w:hint="eastAsia" w:ascii="仿宋_GB2312" w:hAnsi="仿宋_GB2312" w:eastAsia="仿宋_GB2312" w:cs="仿宋_GB2312"/>
          <w:spacing w:val="-6"/>
          <w:sz w:val="32"/>
          <w:szCs w:val="32"/>
          <w:highlight w:val="none"/>
        </w:rPr>
        <w:t>市政府审批后实施</w:t>
      </w:r>
      <w:r>
        <w:rPr>
          <w:rFonts w:hint="eastAsia" w:ascii="仿宋_GB2312" w:hAnsi="仿宋_GB2312" w:eastAsia="仿宋_GB2312" w:cs="仿宋_GB2312"/>
          <w:spacing w:val="-6"/>
          <w:sz w:val="32"/>
          <w:szCs w:val="32"/>
          <w:highlight w:val="none"/>
          <w:lang w:eastAsia="zh-CN"/>
        </w:rPr>
        <w:t>。</w:t>
      </w:r>
      <w:r>
        <w:rPr>
          <w:rFonts w:hint="eastAsia" w:ascii="仿宋_GB2312" w:hAnsi="仿宋_GB2312" w:eastAsia="仿宋_GB2312" w:cs="仿宋_GB2312"/>
          <w:spacing w:val="-6"/>
          <w:sz w:val="32"/>
          <w:szCs w:val="32"/>
          <w:highlight w:val="none"/>
        </w:rPr>
        <w:t>招商方案应明确</w:t>
      </w:r>
      <w:r>
        <w:rPr>
          <w:rFonts w:hint="eastAsia" w:ascii="仿宋_GB2312" w:hAnsi="仿宋_GB2312" w:eastAsia="仿宋_GB2312" w:cs="仿宋_GB2312"/>
          <w:spacing w:val="-6"/>
          <w:sz w:val="32"/>
          <w:szCs w:val="32"/>
          <w:highlight w:val="none"/>
          <w:lang w:val="en-US" w:eastAsia="zh-CN"/>
        </w:rPr>
        <w:t>项目</w:t>
      </w:r>
      <w:r>
        <w:rPr>
          <w:rFonts w:hint="eastAsia" w:ascii="仿宋_GB2312" w:hAnsi="仿宋_GB2312" w:eastAsia="仿宋_GB2312" w:cs="仿宋_GB2312"/>
          <w:spacing w:val="-6"/>
          <w:sz w:val="32"/>
          <w:szCs w:val="32"/>
          <w:highlight w:val="none"/>
        </w:rPr>
        <w:t>基本</w:t>
      </w:r>
      <w:r>
        <w:rPr>
          <w:rFonts w:hint="eastAsia" w:ascii="仿宋_GB2312" w:hAnsi="仿宋_GB2312" w:eastAsia="仿宋_GB2312" w:cs="仿宋_GB2312"/>
          <w:spacing w:val="-6"/>
          <w:sz w:val="32"/>
          <w:szCs w:val="32"/>
          <w:highlight w:val="none"/>
          <w:lang w:val="en-US" w:eastAsia="zh-CN"/>
        </w:rPr>
        <w:t>情况</w:t>
      </w:r>
      <w:r>
        <w:rPr>
          <w:rFonts w:hint="eastAsia" w:ascii="仿宋_GB2312" w:hAnsi="仿宋_GB2312" w:eastAsia="仿宋_GB2312" w:cs="仿宋_GB2312"/>
          <w:spacing w:val="-6"/>
          <w:sz w:val="32"/>
          <w:szCs w:val="32"/>
          <w:highlight w:val="none"/>
        </w:rPr>
        <w:t>、市场主体参与条件、竞价</w:t>
      </w:r>
      <w:r>
        <w:rPr>
          <w:rFonts w:hint="eastAsia" w:ascii="仿宋_GB2312" w:hAnsi="仿宋_GB2312" w:eastAsia="仿宋_GB2312" w:cs="仿宋_GB2312"/>
          <w:spacing w:val="-6"/>
          <w:sz w:val="32"/>
          <w:szCs w:val="32"/>
          <w:highlight w:val="none"/>
          <w:lang w:val="en-US" w:eastAsia="zh-CN"/>
        </w:rPr>
        <w:t>要求</w:t>
      </w:r>
      <w:r>
        <w:rPr>
          <w:rFonts w:hint="eastAsia" w:ascii="仿宋_GB2312" w:hAnsi="仿宋_GB2312" w:eastAsia="仿宋_GB2312" w:cs="仿宋_GB2312"/>
          <w:spacing w:val="-6"/>
          <w:sz w:val="32"/>
          <w:szCs w:val="32"/>
          <w:highlight w:val="none"/>
        </w:rPr>
        <w:t>、保证金要求、竞得人补偿等经济责任、签约期限、土地出让方案、开发时序以及其他监管要求等内容。</w:t>
      </w:r>
    </w:p>
    <w:p>
      <w:pPr>
        <w:autoSpaceDE w:val="0"/>
        <w:autoSpaceDN w:val="0"/>
        <w:spacing w:line="574" w:lineRule="exact"/>
        <w:ind w:firstLine="616" w:firstLineChars="200"/>
        <w:rPr>
          <w:rFonts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按照经批准的招商方案，通过市公共资源交易平台或市农村集体“三资”管理服务平台按“价高者得”原则确定市场主体入围资格，待达到规定条件后可以</w:t>
      </w:r>
      <w:r>
        <w:rPr>
          <w:rFonts w:hint="eastAsia" w:ascii="仿宋_GB2312" w:hAnsi="仿宋_GB2312" w:eastAsia="仿宋_GB2312" w:cs="仿宋_GB2312"/>
          <w:spacing w:val="-6"/>
          <w:sz w:val="32"/>
          <w:szCs w:val="32"/>
          <w:highlight w:val="none"/>
          <w:lang w:val="en-US" w:eastAsia="zh-CN"/>
        </w:rPr>
        <w:t>按程序</w:t>
      </w:r>
      <w:r>
        <w:rPr>
          <w:rFonts w:hint="eastAsia" w:ascii="仿宋_GB2312" w:hAnsi="仿宋_GB2312" w:eastAsia="仿宋_GB2312" w:cs="仿宋_GB2312"/>
          <w:spacing w:val="-6"/>
          <w:sz w:val="32"/>
          <w:szCs w:val="32"/>
          <w:highlight w:val="none"/>
        </w:rPr>
        <w:t>确认</w:t>
      </w:r>
      <w:r>
        <w:rPr>
          <w:rFonts w:hint="eastAsia" w:ascii="仿宋_GB2312" w:hAnsi="仿宋_GB2312" w:eastAsia="仿宋_GB2312" w:cs="仿宋_GB2312"/>
          <w:spacing w:val="-6"/>
          <w:sz w:val="32"/>
          <w:szCs w:val="32"/>
          <w:highlight w:val="none"/>
          <w:lang w:val="en-US" w:eastAsia="zh-CN"/>
        </w:rPr>
        <w:t>为</w:t>
      </w:r>
      <w:r>
        <w:rPr>
          <w:rFonts w:hint="eastAsia" w:ascii="仿宋_GB2312" w:hAnsi="仿宋_GB2312" w:eastAsia="仿宋_GB2312" w:cs="仿宋_GB2312"/>
          <w:spacing w:val="-6"/>
          <w:sz w:val="32"/>
          <w:szCs w:val="32"/>
          <w:highlight w:val="none"/>
        </w:rPr>
        <w:t>改造主体。</w:t>
      </w:r>
    </w:p>
    <w:p>
      <w:pPr>
        <w:autoSpaceDE w:val="0"/>
        <w:autoSpaceDN w:val="0"/>
        <w:spacing w:line="574" w:lineRule="exact"/>
        <w:ind w:firstLine="640"/>
        <w:rPr>
          <w:rFonts w:ascii="仿宋_GB2312" w:hAnsi="仿宋_GB2312" w:eastAsia="仿宋_GB2312" w:cs="仿宋_GB2312"/>
          <w:sz w:val="32"/>
          <w:szCs w:val="32"/>
          <w:highlight w:val="none"/>
        </w:rPr>
      </w:pPr>
      <w:r>
        <w:rPr>
          <w:rFonts w:hint="eastAsia" w:ascii="黑体" w:hAnsi="黑体" w:eastAsia="黑体" w:cs="黑体"/>
          <w:kern w:val="21"/>
          <w:sz w:val="32"/>
          <w:szCs w:val="32"/>
          <w:highlight w:val="none"/>
        </w:rPr>
        <w:t>第十八条【办理条件】</w:t>
      </w:r>
      <w:r>
        <w:rPr>
          <w:rFonts w:hint="eastAsia" w:ascii="仿宋_GB2312" w:hAnsi="仿宋_GB2312" w:eastAsia="仿宋_GB2312" w:cs="仿宋_GB2312"/>
          <w:sz w:val="32"/>
          <w:szCs w:val="32"/>
          <w:highlight w:val="none"/>
        </w:rPr>
        <w:t>城市更新项目完善用地手续应符合下列条件：</w:t>
      </w:r>
    </w:p>
    <w:p>
      <w:pPr>
        <w:autoSpaceDE w:val="0"/>
        <w:autoSpaceDN w:val="0"/>
        <w:spacing w:line="574"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（一）项目用地需符合国土空间规划、标图建库要求；</w:t>
      </w:r>
    </w:p>
    <w:p>
      <w:pPr>
        <w:autoSpaceDE w:val="0"/>
        <w:autoSpaceDN w:val="0"/>
        <w:spacing w:line="574"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项目用地2009年12月31日前已建设使用，上盖建筑物基底面积（2009年或以前年度影像图投影面积）占地块面积比例达到30%以上；村集体为改造主体、用地面积达2公顷（折30亩）以上的村集体工业项目，允许按照项目整体核算上盖物建筑物占比；</w:t>
      </w:r>
    </w:p>
    <w:p>
      <w:pPr>
        <w:autoSpaceDE w:val="0"/>
        <w:autoSpaceDN w:val="0"/>
        <w:spacing w:line="574"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（三）项目用地面积不小于0.667公顷（折10亩）；</w:t>
      </w:r>
    </w:p>
    <w:p>
      <w:pPr>
        <w:autoSpaceDE w:val="0"/>
        <w:autoSpaceDN w:val="0"/>
        <w:spacing w:line="574"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（四）涉及违法用地的，已按用地发生时的土地管理法律政策落实处罚（处理）；</w:t>
      </w:r>
    </w:p>
    <w:p>
      <w:pPr>
        <w:autoSpaceDE w:val="0"/>
        <w:autoSpaceDN w:val="0"/>
        <w:spacing w:line="574"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（五）改造类型为全面改造或“工改工”局部改造。</w:t>
      </w:r>
    </w:p>
    <w:p>
      <w:pPr>
        <w:autoSpaceDE w:val="0"/>
        <w:autoSpaceDN w:val="0"/>
        <w:spacing w:line="574" w:lineRule="exact"/>
        <w:ind w:firstLine="640"/>
        <w:rPr>
          <w:rFonts w:ascii="仿宋_GB2312" w:hAnsi="仿宋_GB2312" w:eastAsia="仿宋_GB2312" w:cs="仿宋_GB2312"/>
          <w:sz w:val="32"/>
          <w:szCs w:val="32"/>
          <w:highlight w:val="none"/>
        </w:rPr>
      </w:pPr>
      <w:r>
        <w:rPr>
          <w:rFonts w:hint="eastAsia" w:ascii="黑体" w:hAnsi="黑体" w:eastAsia="黑体" w:cs="黑体"/>
          <w:kern w:val="21"/>
          <w:sz w:val="32"/>
          <w:szCs w:val="32"/>
          <w:highlight w:val="none"/>
        </w:rPr>
        <w:t>第十九条【适用范围】</w:t>
      </w:r>
      <w:r>
        <w:rPr>
          <w:rFonts w:hint="eastAsia" w:ascii="仿宋_GB2312" w:hAnsi="仿宋_GB2312" w:eastAsia="仿宋_GB2312" w:cs="仿宋_GB2312"/>
          <w:sz w:val="32"/>
          <w:szCs w:val="32"/>
          <w:highlight w:val="none"/>
        </w:rPr>
        <w:t>城市更新项目完善用地手续的情形：</w:t>
      </w:r>
    </w:p>
    <w:p>
      <w:pPr>
        <w:autoSpaceDE w:val="0"/>
        <w:autoSpaceDN w:val="0"/>
        <w:spacing w:line="574"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val="en-US" w:eastAsia="zh-CN"/>
        </w:rPr>
        <w:t>村集体对</w:t>
      </w:r>
      <w:r>
        <w:rPr>
          <w:rFonts w:hint="eastAsia" w:ascii="仿宋_GB2312" w:hAnsi="仿宋_GB2312" w:eastAsia="仿宋_GB2312" w:cs="仿宋_GB2312"/>
          <w:sz w:val="32"/>
          <w:szCs w:val="32"/>
          <w:highlight w:val="none"/>
        </w:rPr>
        <w:t>集体建设用地</w:t>
      </w:r>
      <w:r>
        <w:rPr>
          <w:rFonts w:hint="eastAsia" w:ascii="仿宋_GB2312" w:hAnsi="仿宋_GB2312" w:eastAsia="仿宋_GB2312" w:cs="仿宋_GB2312"/>
          <w:sz w:val="32"/>
          <w:szCs w:val="32"/>
          <w:highlight w:val="none"/>
          <w:lang w:val="en-US" w:eastAsia="zh-CN"/>
        </w:rPr>
        <w:t>自主</w:t>
      </w:r>
      <w:r>
        <w:rPr>
          <w:rFonts w:hint="eastAsia" w:ascii="仿宋_GB2312" w:hAnsi="仿宋_GB2312" w:eastAsia="仿宋_GB2312" w:cs="仿宋_GB2312"/>
          <w:sz w:val="32"/>
          <w:szCs w:val="32"/>
          <w:highlight w:val="none"/>
        </w:rPr>
        <w:t>改造、村企合作改造、自愿转为国有建设用地交政府的，申请完善建设用地手续及集体建设用地转为国有建设用地手续；</w:t>
      </w:r>
    </w:p>
    <w:p>
      <w:pPr>
        <w:autoSpaceDE w:val="0"/>
        <w:autoSpaceDN w:val="0"/>
        <w:spacing w:line="574"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（二）相关权利人利用其国有建设用地实施改造的，申请完善国有建设用地手续；</w:t>
      </w:r>
    </w:p>
    <w:p>
      <w:pPr>
        <w:autoSpaceDE w:val="0"/>
        <w:autoSpaceDN w:val="0"/>
        <w:spacing w:line="574"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（三）相关权利人利用其无合法征地手续或手续不完善、实际已实施征地（2009年12月31日前已签订协议）的集体用地实施改造的，申请完善土地征收手续；</w:t>
      </w:r>
    </w:p>
    <w:p>
      <w:pPr>
        <w:autoSpaceDE w:val="0"/>
        <w:autoSpaceDN w:val="0"/>
        <w:spacing w:line="574" w:lineRule="exact"/>
        <w:ind w:firstLine="64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（四）改造范围内的边角地、插花地、夹心地（简称“三地”），单个地块面积小于0.2公顷且累计不超过项目主体地块面积10%的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申请办理“三地”农用地转用和土地征收手续审批；</w:t>
      </w:r>
      <w:r>
        <w:rPr>
          <w:rFonts w:hint="eastAsia" w:ascii="仿宋_GB2312" w:hAnsi="仿宋_GB2312" w:eastAsia="仿宋_GB2312" w:cs="仿宋_GB2312"/>
          <w:sz w:val="32"/>
          <w:szCs w:val="32"/>
          <w:highlight w:val="none"/>
          <w:lang w:val="en-US" w:eastAsia="zh-CN"/>
        </w:rPr>
        <w:t>涉及</w:t>
      </w:r>
      <w:r>
        <w:rPr>
          <w:rFonts w:hint="eastAsia" w:ascii="仿宋_GB2312" w:hAnsi="仿宋_GB2312" w:eastAsia="仿宋_GB2312" w:cs="仿宋_GB2312"/>
          <w:sz w:val="32"/>
          <w:szCs w:val="32"/>
          <w:highlight w:val="none"/>
        </w:rPr>
        <w:t>单个地块面积大于0.2公顷或累计面积超过项目主体地块面积10%且原则上不超过20%的，需出具申报地块的相关说明一并报市政府进行审批</w:t>
      </w:r>
      <w:r>
        <w:rPr>
          <w:rFonts w:hint="eastAsia" w:ascii="仿宋_GB2312" w:hAnsi="仿宋_GB2312" w:eastAsia="仿宋_GB2312" w:cs="仿宋_GB2312"/>
          <w:sz w:val="32"/>
          <w:szCs w:val="32"/>
          <w:highlight w:val="none"/>
          <w:lang w:eastAsia="zh-CN"/>
        </w:rPr>
        <w:t>。</w:t>
      </w:r>
    </w:p>
    <w:p>
      <w:pPr>
        <w:pStyle w:val="2"/>
        <w:keepNext w:val="0"/>
        <w:keepLines w:val="0"/>
        <w:autoSpaceDE w:val="0"/>
        <w:autoSpaceDN w:val="0"/>
        <w:spacing w:line="574" w:lineRule="exact"/>
        <w:ind w:firstLine="640" w:firstLineChars="200"/>
        <w:jc w:val="left"/>
        <w:rPr>
          <w:rFonts w:ascii="仿宋_GB2312" w:hAnsi="仿宋_GB2312" w:eastAsia="仿宋_GB2312" w:cs="仿宋_GB2312"/>
          <w:bCs w:val="0"/>
          <w:kern w:val="21"/>
          <w:sz w:val="32"/>
          <w:szCs w:val="32"/>
          <w:highlight w:val="none"/>
        </w:rPr>
      </w:pPr>
      <w:r>
        <w:rPr>
          <w:rFonts w:hint="eastAsia" w:ascii="仿宋_GB2312" w:hAnsi="仿宋_GB2312" w:eastAsia="仿宋_GB2312" w:cs="仿宋_GB2312"/>
          <w:bCs w:val="0"/>
          <w:kern w:val="2"/>
          <w:sz w:val="32"/>
          <w:szCs w:val="32"/>
          <w:highlight w:val="none"/>
        </w:rPr>
        <w:t>（五）符合省政策要求的旧村庄改造项目中仅用于复建安置和公益设施建设的其他用地。</w:t>
      </w:r>
    </w:p>
    <w:p>
      <w:pPr>
        <w:autoSpaceDE w:val="0"/>
        <w:autoSpaceDN w:val="0"/>
        <w:spacing w:line="574" w:lineRule="exact"/>
        <w:ind w:firstLine="640" w:firstLineChars="200"/>
        <w:rPr>
          <w:rFonts w:ascii="仿宋_GB2312" w:hAnsi="仿宋_GB2312" w:eastAsia="仿宋_GB2312" w:cs="仿宋_GB2312"/>
          <w:kern w:val="21"/>
          <w:sz w:val="32"/>
          <w:szCs w:val="32"/>
          <w:highlight w:val="none"/>
        </w:rPr>
      </w:pPr>
      <w:r>
        <w:rPr>
          <w:rFonts w:hint="eastAsia" w:ascii="黑体" w:hAnsi="黑体" w:eastAsia="黑体" w:cs="黑体"/>
          <w:kern w:val="21"/>
          <w:sz w:val="32"/>
          <w:szCs w:val="32"/>
          <w:highlight w:val="none"/>
        </w:rPr>
        <w:t>第二十条【支持土地整理】</w:t>
      </w:r>
      <w:r>
        <w:rPr>
          <w:rFonts w:hint="eastAsia" w:ascii="仿宋_GB2312" w:hAnsi="仿宋_GB2312" w:eastAsia="仿宋_GB2312" w:cs="仿宋_GB2312"/>
          <w:kern w:val="21"/>
          <w:sz w:val="32"/>
          <w:szCs w:val="32"/>
          <w:highlight w:val="none"/>
        </w:rPr>
        <w:t>对单元规划范围内土地，可以采用以下方式实施整理：</w:t>
      </w:r>
    </w:p>
    <w:p>
      <w:pPr>
        <w:numPr>
          <w:ilvl w:val="0"/>
          <w:numId w:val="2"/>
        </w:numPr>
        <w:suppressLineNumbers/>
        <w:autoSpaceDE w:val="0"/>
        <w:autoSpaceDN w:val="0"/>
        <w:adjustRightInd w:val="0"/>
        <w:snapToGrid w:val="0"/>
        <w:spacing w:line="574"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改造范围内多宗用地将房地产相关权益转移到单一主体</w:t>
      </w:r>
      <w:r>
        <w:rPr>
          <w:rFonts w:hint="eastAsia" w:ascii="仿宋_GB2312" w:hAnsi="仿宋_GB2312" w:eastAsia="仿宋_GB2312" w:cs="仿宋_GB2312"/>
          <w:spacing w:val="-6"/>
          <w:kern w:val="32"/>
          <w:sz w:val="32"/>
          <w:szCs w:val="32"/>
          <w:highlight w:val="none"/>
        </w:rPr>
        <w:t>实施改造，原房地产权利人</w:t>
      </w:r>
      <w:r>
        <w:rPr>
          <w:rFonts w:hint="eastAsia" w:ascii="仿宋_GB2312" w:hAnsi="仿宋_GB2312" w:eastAsia="仿宋_GB2312" w:cs="仿宋_GB2312"/>
          <w:sz w:val="32"/>
          <w:szCs w:val="32"/>
          <w:highlight w:val="none"/>
        </w:rPr>
        <w:t>凭经批准的改造方案按规定享受税收优惠。</w:t>
      </w:r>
      <w:r>
        <w:rPr>
          <w:rFonts w:hint="eastAsia" w:ascii="仿宋_GB2312" w:hAnsi="仿宋_GB2312" w:eastAsia="仿宋_GB2312" w:cs="仿宋_GB2312"/>
          <w:spacing w:val="-6"/>
          <w:kern w:val="32"/>
          <w:sz w:val="32"/>
          <w:szCs w:val="32"/>
          <w:highlight w:val="none"/>
        </w:rPr>
        <w:t>村</w:t>
      </w:r>
      <w:r>
        <w:rPr>
          <w:rFonts w:hint="eastAsia" w:ascii="仿宋_GB2312" w:hAnsi="仿宋_GB2312" w:eastAsia="仿宋_GB2312" w:cs="仿宋_GB2312"/>
          <w:spacing w:val="-6"/>
          <w:kern w:val="32"/>
          <w:sz w:val="32"/>
          <w:szCs w:val="32"/>
          <w:highlight w:val="none"/>
          <w:lang w:val="en-US" w:eastAsia="zh-CN"/>
        </w:rPr>
        <w:t>企</w:t>
      </w:r>
      <w:r>
        <w:rPr>
          <w:rFonts w:hint="eastAsia" w:ascii="仿宋_GB2312" w:hAnsi="仿宋_GB2312" w:eastAsia="仿宋_GB2312" w:cs="仿宋_GB2312"/>
          <w:spacing w:val="-6"/>
          <w:kern w:val="32"/>
          <w:sz w:val="32"/>
          <w:szCs w:val="32"/>
          <w:highlight w:val="none"/>
        </w:rPr>
        <w:t>合作改造的，</w:t>
      </w:r>
      <w:r>
        <w:rPr>
          <w:rFonts w:hint="eastAsia" w:ascii="仿宋_GB2312" w:hAnsi="仿宋_GB2312" w:eastAsia="仿宋_GB2312" w:cs="仿宋_GB2312"/>
          <w:spacing w:val="-6"/>
          <w:kern w:val="32"/>
          <w:sz w:val="32"/>
          <w:szCs w:val="32"/>
          <w:highlight w:val="none"/>
          <w:lang w:val="en-US" w:eastAsia="zh-CN"/>
        </w:rPr>
        <w:t>村集体</w:t>
      </w:r>
      <w:r>
        <w:rPr>
          <w:rFonts w:hint="eastAsia" w:ascii="仿宋_GB2312" w:hAnsi="仿宋_GB2312" w:eastAsia="仿宋_GB2312" w:cs="仿宋_GB2312"/>
          <w:spacing w:val="-6"/>
          <w:kern w:val="32"/>
          <w:sz w:val="32"/>
          <w:szCs w:val="32"/>
          <w:highlight w:val="none"/>
        </w:rPr>
        <w:t>名下的国有用地参照执行。</w:t>
      </w:r>
    </w:p>
    <w:p>
      <w:pPr>
        <w:suppressLineNumbers/>
        <w:autoSpaceDE w:val="0"/>
        <w:autoSpaceDN w:val="0"/>
        <w:adjustRightInd w:val="0"/>
        <w:snapToGrid w:val="0"/>
        <w:spacing w:line="574"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（二）在符合规划、</w:t>
      </w:r>
      <w:r>
        <w:rPr>
          <w:rFonts w:hint="eastAsia" w:ascii="仿宋_GB2312" w:hAnsi="仿宋_GB2312" w:eastAsia="仿宋_GB2312" w:cs="仿宋_GB2312"/>
          <w:spacing w:val="-6"/>
          <w:kern w:val="32"/>
          <w:sz w:val="32"/>
          <w:szCs w:val="32"/>
          <w:highlight w:val="none"/>
        </w:rPr>
        <w:t>权属清晰</w:t>
      </w:r>
      <w:r>
        <w:rPr>
          <w:rFonts w:hint="eastAsia" w:ascii="仿宋_GB2312" w:hAnsi="仿宋_GB2312" w:eastAsia="仿宋_GB2312" w:cs="仿宋_GB2312"/>
          <w:sz w:val="32"/>
          <w:szCs w:val="32"/>
          <w:highlight w:val="none"/>
        </w:rPr>
        <w:t>、土地证载面积不增加的前提下，经相关土地权利人同意，允许对项目建设用地界线进行适当调整，但调整前后界线范围重合度应达到97%以上。</w:t>
      </w:r>
    </w:p>
    <w:p>
      <w:pPr>
        <w:suppressLineNumbers/>
        <w:autoSpaceDE w:val="0"/>
        <w:autoSpaceDN w:val="0"/>
        <w:adjustRightInd w:val="0"/>
        <w:snapToGrid w:val="0"/>
        <w:spacing w:line="574" w:lineRule="exact"/>
        <w:ind w:firstLine="640" w:firstLineChars="200"/>
        <w:rPr>
          <w:rFonts w:ascii="仿宋_GB2312" w:hAnsi="仿宋_GB2312" w:eastAsia="仿宋_GB2312" w:cs="仿宋_GB2312"/>
          <w:snapToGrid w:val="0"/>
          <w:spacing w:val="-6"/>
          <w:kern w:val="0"/>
          <w:sz w:val="32"/>
          <w:szCs w:val="32"/>
          <w:highlight w:val="none"/>
        </w:rPr>
      </w:pPr>
      <w:r>
        <w:rPr>
          <w:rFonts w:hint="eastAsia" w:ascii="仿宋_GB2312" w:hAnsi="仿宋_GB2312" w:eastAsia="仿宋_GB2312" w:cs="仿宋_GB2312"/>
          <w:kern w:val="21"/>
          <w:sz w:val="32"/>
          <w:szCs w:val="32"/>
          <w:highlight w:val="none"/>
        </w:rPr>
        <w:t>（三）</w:t>
      </w:r>
      <w:r>
        <w:rPr>
          <w:rFonts w:hint="eastAsia" w:ascii="仿宋_GB2312" w:hAnsi="仿宋_GB2312" w:eastAsia="仿宋_GB2312" w:cs="仿宋_GB2312"/>
          <w:snapToGrid w:val="0"/>
          <w:spacing w:val="-6"/>
          <w:kern w:val="0"/>
          <w:sz w:val="32"/>
          <w:szCs w:val="32"/>
          <w:highlight w:val="none"/>
        </w:rPr>
        <w:t>位置相邻的集体建设用地与国有建设用地，可一并</w:t>
      </w:r>
      <w:r>
        <w:rPr>
          <w:rFonts w:hint="eastAsia" w:ascii="仿宋_GB2312" w:hAnsi="仿宋_GB2312" w:eastAsia="仿宋_GB2312" w:cs="仿宋_GB2312"/>
          <w:snapToGrid w:val="0"/>
          <w:spacing w:val="-6"/>
          <w:kern w:val="0"/>
          <w:sz w:val="32"/>
          <w:szCs w:val="32"/>
          <w:highlight w:val="none"/>
          <w:lang w:val="en-US" w:eastAsia="zh-CN"/>
        </w:rPr>
        <w:t>打包</w:t>
      </w:r>
      <w:r>
        <w:rPr>
          <w:rFonts w:hint="eastAsia" w:ascii="仿宋_GB2312" w:hAnsi="仿宋_GB2312" w:eastAsia="仿宋_GB2312" w:cs="仿宋_GB2312"/>
          <w:snapToGrid w:val="0"/>
          <w:spacing w:val="-6"/>
          <w:kern w:val="0"/>
          <w:sz w:val="32"/>
          <w:szCs w:val="32"/>
          <w:highlight w:val="none"/>
        </w:rPr>
        <w:t>确定使用权人，实行统一规划、统一改造。</w:t>
      </w:r>
    </w:p>
    <w:p>
      <w:pPr>
        <w:suppressLineNumbers/>
        <w:adjustRightInd w:val="0"/>
        <w:snapToGrid w:val="0"/>
        <w:spacing w:line="574" w:lineRule="exact"/>
        <w:ind w:firstLine="652" w:firstLineChars="204"/>
        <w:contextualSpacing/>
        <w:rPr>
          <w:rFonts w:ascii="Times New Roman" w:hAnsi="Times New Roman" w:eastAsia="仿宋_GB2312"/>
          <w:spacing w:val="-6"/>
          <w:kern w:val="0"/>
          <w:sz w:val="32"/>
          <w:szCs w:val="32"/>
          <w:highlight w:val="none"/>
        </w:rPr>
      </w:pPr>
      <w:r>
        <w:rPr>
          <w:rFonts w:hint="eastAsia" w:ascii="黑体" w:hAnsi="黑体" w:eastAsia="黑体" w:cs="黑体"/>
          <w:kern w:val="21"/>
          <w:sz w:val="32"/>
          <w:szCs w:val="32"/>
          <w:highlight w:val="none"/>
        </w:rPr>
        <w:t>第二十一</w:t>
      </w:r>
      <w:r>
        <w:rPr>
          <w:rFonts w:hint="eastAsia" w:ascii="黑体" w:hAnsi="黑体" w:eastAsia="黑体" w:cs="黑体"/>
          <w:kern w:val="21"/>
          <w:sz w:val="32"/>
          <w:szCs w:val="32"/>
          <w:highlight w:val="none"/>
          <w:lang w:eastAsia="zh-CN"/>
        </w:rPr>
        <w:t>条</w:t>
      </w:r>
      <w:r>
        <w:rPr>
          <w:rFonts w:hint="eastAsia" w:ascii="黑体" w:hAnsi="黑体" w:eastAsia="黑体" w:cs="黑体"/>
          <w:kern w:val="21"/>
          <w:sz w:val="32"/>
          <w:szCs w:val="32"/>
          <w:highlight w:val="none"/>
          <w:lang w:val="en-US" w:eastAsia="zh-CN"/>
        </w:rPr>
        <w:t xml:space="preserve"> </w:t>
      </w:r>
      <w:r>
        <w:rPr>
          <w:rFonts w:hint="eastAsia" w:ascii="黑体" w:hAnsi="黑体" w:eastAsia="黑体" w:cs="黑体"/>
          <w:kern w:val="21"/>
          <w:sz w:val="32"/>
          <w:szCs w:val="32"/>
          <w:highlight w:val="none"/>
        </w:rPr>
        <w:t>【土地供应】</w:t>
      </w:r>
      <w:bookmarkStart w:id="1" w:name="_Hlk515118656"/>
      <w:r>
        <w:rPr>
          <w:rFonts w:hint="eastAsia" w:ascii="Times New Roman" w:hAnsi="Times New Roman" w:eastAsia="仿宋_GB2312"/>
          <w:spacing w:val="-6"/>
          <w:kern w:val="0"/>
          <w:sz w:val="32"/>
          <w:szCs w:val="32"/>
          <w:highlight w:val="none"/>
        </w:rPr>
        <w:t xml:space="preserve"> 城市更新项目用地按照以下规定供地：</w:t>
      </w:r>
    </w:p>
    <w:p>
      <w:pPr>
        <w:suppressLineNumbers/>
        <w:adjustRightInd w:val="0"/>
        <w:snapToGrid w:val="0"/>
        <w:spacing w:line="574" w:lineRule="exact"/>
        <w:ind w:firstLine="628" w:firstLineChars="204"/>
        <w:contextualSpacing/>
        <w:rPr>
          <w:rFonts w:ascii="Times New Roman" w:hAnsi="Times New Roman" w:eastAsia="仿宋_GB2312"/>
          <w:spacing w:val="-6"/>
          <w:kern w:val="0"/>
          <w:sz w:val="32"/>
          <w:szCs w:val="32"/>
          <w:highlight w:val="none"/>
        </w:rPr>
      </w:pPr>
      <w:bookmarkStart w:id="2" w:name="_Hlk515477954"/>
      <w:r>
        <w:rPr>
          <w:rFonts w:hint="eastAsia" w:ascii="Times New Roman" w:hAnsi="Times New Roman" w:eastAsia="仿宋_GB2312"/>
          <w:spacing w:val="-6"/>
          <w:kern w:val="0"/>
          <w:sz w:val="32"/>
          <w:szCs w:val="32"/>
          <w:highlight w:val="none"/>
        </w:rPr>
        <w:t>（一）应当采用公开方式出让的情形：</w:t>
      </w:r>
    </w:p>
    <w:bookmarkEnd w:id="2"/>
    <w:p>
      <w:pPr>
        <w:suppressLineNumbers/>
        <w:adjustRightInd w:val="0"/>
        <w:snapToGrid w:val="0"/>
        <w:spacing w:line="574" w:lineRule="exact"/>
        <w:ind w:firstLine="628" w:firstLineChars="204"/>
        <w:contextualSpacing/>
        <w:rPr>
          <w:rFonts w:ascii="Times New Roman" w:hAnsi="Times New Roman" w:eastAsia="仿宋_GB2312"/>
          <w:spacing w:val="-6"/>
          <w:kern w:val="0"/>
          <w:sz w:val="32"/>
          <w:szCs w:val="32"/>
          <w:highlight w:val="none"/>
        </w:rPr>
      </w:pPr>
      <w:r>
        <w:rPr>
          <w:rFonts w:hint="eastAsia" w:ascii="Times New Roman" w:hAnsi="Times New Roman" w:eastAsia="仿宋_GB2312"/>
          <w:spacing w:val="-6"/>
          <w:kern w:val="0"/>
          <w:sz w:val="32"/>
          <w:szCs w:val="32"/>
          <w:highlight w:val="none"/>
        </w:rPr>
        <w:t>1</w:t>
      </w:r>
      <w:r>
        <w:rPr>
          <w:rFonts w:hint="eastAsia" w:ascii="Times New Roman" w:hAnsi="Times New Roman" w:eastAsia="仿宋_GB2312"/>
          <w:spacing w:val="-6"/>
          <w:kern w:val="0"/>
          <w:sz w:val="32"/>
          <w:szCs w:val="32"/>
          <w:highlight w:val="none"/>
          <w:lang w:val="en-US" w:eastAsia="zh-CN"/>
        </w:rPr>
        <w:t>.</w:t>
      </w:r>
      <w:r>
        <w:rPr>
          <w:rFonts w:hint="eastAsia" w:ascii="Times New Roman" w:hAnsi="Times New Roman" w:eastAsia="仿宋_GB2312"/>
          <w:spacing w:val="-6"/>
          <w:kern w:val="0"/>
          <w:sz w:val="32"/>
          <w:szCs w:val="32"/>
          <w:highlight w:val="none"/>
        </w:rPr>
        <w:t>政府</w:t>
      </w:r>
      <w:r>
        <w:rPr>
          <w:rFonts w:hint="eastAsia" w:ascii="Times New Roman" w:hAnsi="Times New Roman" w:eastAsia="仿宋_GB2312"/>
          <w:spacing w:val="-6"/>
          <w:kern w:val="0"/>
          <w:sz w:val="32"/>
          <w:szCs w:val="32"/>
          <w:highlight w:val="none"/>
          <w:lang w:eastAsia="zh-CN"/>
        </w:rPr>
        <w:t>整备</w:t>
      </w:r>
      <w:r>
        <w:rPr>
          <w:rFonts w:hint="eastAsia" w:ascii="Times New Roman" w:hAnsi="Times New Roman" w:eastAsia="仿宋_GB2312"/>
          <w:spacing w:val="-6"/>
          <w:kern w:val="0"/>
          <w:sz w:val="32"/>
          <w:szCs w:val="32"/>
          <w:highlight w:val="none"/>
        </w:rPr>
        <w:t>后再次供地的；</w:t>
      </w:r>
    </w:p>
    <w:p>
      <w:pPr>
        <w:suppressLineNumbers/>
        <w:adjustRightInd w:val="0"/>
        <w:snapToGrid w:val="0"/>
        <w:spacing w:line="574" w:lineRule="exact"/>
        <w:ind w:firstLine="628" w:firstLineChars="204"/>
        <w:contextualSpacing/>
        <w:rPr>
          <w:rFonts w:ascii="Times New Roman" w:hAnsi="Times New Roman" w:eastAsia="仿宋_GB2312"/>
          <w:spacing w:val="-6"/>
          <w:kern w:val="0"/>
          <w:sz w:val="32"/>
          <w:szCs w:val="32"/>
          <w:highlight w:val="none"/>
        </w:rPr>
      </w:pPr>
      <w:r>
        <w:rPr>
          <w:rFonts w:hint="eastAsia" w:ascii="Times New Roman" w:hAnsi="Times New Roman" w:eastAsia="仿宋_GB2312"/>
          <w:spacing w:val="-6"/>
          <w:kern w:val="0"/>
          <w:sz w:val="32"/>
          <w:szCs w:val="32"/>
          <w:highlight w:val="none"/>
        </w:rPr>
        <w:t>2</w:t>
      </w:r>
      <w:r>
        <w:rPr>
          <w:rFonts w:hint="eastAsia" w:ascii="Times New Roman" w:hAnsi="Times New Roman" w:eastAsia="仿宋_GB2312"/>
          <w:spacing w:val="-6"/>
          <w:kern w:val="0"/>
          <w:sz w:val="32"/>
          <w:szCs w:val="32"/>
          <w:highlight w:val="none"/>
          <w:lang w:val="en-US" w:eastAsia="zh-CN"/>
        </w:rPr>
        <w:t>.</w:t>
      </w:r>
      <w:r>
        <w:rPr>
          <w:rFonts w:hint="eastAsia" w:ascii="Times New Roman" w:hAnsi="Times New Roman" w:eastAsia="仿宋_GB2312"/>
          <w:spacing w:val="-6"/>
          <w:kern w:val="0"/>
          <w:sz w:val="32"/>
          <w:szCs w:val="32"/>
          <w:highlight w:val="none"/>
        </w:rPr>
        <w:t>需引入市场主体实施改造的旧村庄、旧城镇改造项目（通过公开遴选市场主体一并进行）；</w:t>
      </w:r>
    </w:p>
    <w:p>
      <w:pPr>
        <w:suppressLineNumbers/>
        <w:adjustRightInd w:val="0"/>
        <w:snapToGrid w:val="0"/>
        <w:spacing w:line="574" w:lineRule="exact"/>
        <w:ind w:firstLine="628" w:firstLineChars="204"/>
        <w:contextualSpacing/>
        <w:rPr>
          <w:rFonts w:ascii="Times New Roman" w:hAnsi="Times New Roman" w:eastAsia="仿宋_GB2312"/>
          <w:spacing w:val="-6"/>
          <w:kern w:val="0"/>
          <w:sz w:val="32"/>
          <w:szCs w:val="32"/>
          <w:highlight w:val="none"/>
        </w:rPr>
      </w:pPr>
      <w:r>
        <w:rPr>
          <w:rFonts w:hint="eastAsia" w:ascii="Times New Roman" w:hAnsi="Times New Roman" w:eastAsia="仿宋_GB2312"/>
          <w:spacing w:val="-6"/>
          <w:kern w:val="0"/>
          <w:sz w:val="32"/>
          <w:szCs w:val="32"/>
          <w:highlight w:val="none"/>
        </w:rPr>
        <w:t>3.改造为住宅用途</w:t>
      </w:r>
      <w:r>
        <w:rPr>
          <w:rFonts w:hint="eastAsia" w:ascii="Times New Roman" w:hAnsi="Times New Roman" w:eastAsia="仿宋_GB2312"/>
          <w:spacing w:val="-6"/>
          <w:kern w:val="0"/>
          <w:sz w:val="32"/>
          <w:szCs w:val="32"/>
          <w:highlight w:val="none"/>
          <w:lang w:eastAsia="zh-CN"/>
        </w:rPr>
        <w:t>（</w:t>
      </w:r>
      <w:r>
        <w:rPr>
          <w:rFonts w:hint="eastAsia" w:ascii="Times New Roman" w:hAnsi="Times New Roman" w:eastAsia="仿宋_GB2312"/>
          <w:spacing w:val="-6"/>
          <w:kern w:val="0"/>
          <w:sz w:val="32"/>
          <w:szCs w:val="32"/>
          <w:highlight w:val="none"/>
        </w:rPr>
        <w:t>“三地”和经批准的“工改工”联动改造项目除外</w:t>
      </w:r>
      <w:r>
        <w:rPr>
          <w:rFonts w:hint="eastAsia" w:ascii="Times New Roman" w:hAnsi="Times New Roman" w:eastAsia="仿宋_GB2312"/>
          <w:spacing w:val="-6"/>
          <w:kern w:val="0"/>
          <w:sz w:val="32"/>
          <w:szCs w:val="32"/>
          <w:highlight w:val="none"/>
          <w:lang w:eastAsia="zh-CN"/>
        </w:rPr>
        <w:t>）</w:t>
      </w:r>
      <w:r>
        <w:rPr>
          <w:rFonts w:hint="eastAsia" w:ascii="Times New Roman" w:hAnsi="Times New Roman" w:eastAsia="仿宋_GB2312"/>
          <w:spacing w:val="-6"/>
          <w:kern w:val="0"/>
          <w:sz w:val="32"/>
          <w:szCs w:val="32"/>
          <w:highlight w:val="none"/>
        </w:rPr>
        <w:t>。</w:t>
      </w:r>
    </w:p>
    <w:p>
      <w:pPr>
        <w:suppressLineNumbers/>
        <w:adjustRightInd w:val="0"/>
        <w:snapToGrid w:val="0"/>
        <w:spacing w:line="574" w:lineRule="exact"/>
        <w:ind w:firstLine="628" w:firstLineChars="204"/>
        <w:contextualSpacing/>
        <w:rPr>
          <w:rFonts w:ascii="Times New Roman" w:hAnsi="Times New Roman" w:eastAsia="仿宋_GB2312"/>
          <w:spacing w:val="-6"/>
          <w:kern w:val="0"/>
          <w:sz w:val="32"/>
          <w:szCs w:val="32"/>
          <w:highlight w:val="none"/>
        </w:rPr>
      </w:pPr>
      <w:r>
        <w:rPr>
          <w:rFonts w:hint="eastAsia" w:ascii="Times New Roman" w:hAnsi="Times New Roman" w:eastAsia="仿宋_GB2312"/>
          <w:spacing w:val="-6"/>
          <w:kern w:val="0"/>
          <w:sz w:val="32"/>
          <w:szCs w:val="32"/>
          <w:highlight w:val="none"/>
        </w:rPr>
        <w:t>（二）上述情形以外的均可以采用协议方式出让。其中，属完善历史用地手续后供地的，原权利人为自然人的，应供地到该自然人为股东且股份比例与原用地协议约定比例一致的项目公司。</w:t>
      </w:r>
    </w:p>
    <w:bookmarkEnd w:id="1"/>
    <w:p>
      <w:pPr>
        <w:pStyle w:val="7"/>
        <w:widowControl w:val="0"/>
        <w:autoSpaceDE w:val="0"/>
        <w:autoSpaceDN w:val="0"/>
        <w:spacing w:line="574" w:lineRule="exact"/>
        <w:ind w:firstLine="640" w:firstLineChars="200"/>
        <w:jc w:val="both"/>
        <w:rPr>
          <w:rFonts w:ascii="黑体" w:hAnsi="黑体" w:eastAsia="黑体" w:cs="黑体"/>
          <w:kern w:val="21"/>
          <w:sz w:val="32"/>
          <w:szCs w:val="32"/>
          <w:highlight w:val="none"/>
        </w:rPr>
      </w:pPr>
      <w:r>
        <w:rPr>
          <w:rFonts w:hint="eastAsia" w:ascii="仿宋_GB2312" w:hAnsi="仿宋_GB2312" w:eastAsia="仿宋_GB2312" w:cs="仿宋_GB2312"/>
          <w:kern w:val="21"/>
          <w:sz w:val="32"/>
          <w:szCs w:val="32"/>
          <w:highlight w:val="none"/>
        </w:rPr>
        <w:t>（三）符合划拨目录的，可以划拨方式供地。</w:t>
      </w:r>
    </w:p>
    <w:p>
      <w:pPr>
        <w:pStyle w:val="7"/>
        <w:widowControl w:val="0"/>
        <w:autoSpaceDE w:val="0"/>
        <w:autoSpaceDN w:val="0"/>
        <w:spacing w:line="574" w:lineRule="exact"/>
        <w:ind w:firstLine="640" w:firstLineChars="200"/>
        <w:jc w:val="both"/>
        <w:rPr>
          <w:rFonts w:ascii="仿宋_GB2312" w:hAnsi="仿宋_GB2312" w:eastAsia="仿宋_GB2312" w:cs="仿宋_GB2312"/>
          <w:kern w:val="21"/>
          <w:sz w:val="32"/>
          <w:szCs w:val="32"/>
          <w:highlight w:val="none"/>
        </w:rPr>
      </w:pPr>
      <w:r>
        <w:rPr>
          <w:rFonts w:hint="eastAsia" w:ascii="黑体" w:hAnsi="黑体" w:eastAsia="黑体" w:cs="黑体"/>
          <w:kern w:val="21"/>
          <w:sz w:val="32"/>
          <w:szCs w:val="32"/>
          <w:highlight w:val="none"/>
        </w:rPr>
        <w:t>第二十二条【地价款计收及分配】</w:t>
      </w:r>
      <w:r>
        <w:rPr>
          <w:rFonts w:hint="eastAsia" w:ascii="仿宋_GB2312" w:hAnsi="仿宋_GB2312" w:eastAsia="仿宋_GB2312" w:cs="仿宋_GB2312"/>
          <w:kern w:val="21"/>
          <w:sz w:val="32"/>
          <w:szCs w:val="32"/>
          <w:highlight w:val="none"/>
        </w:rPr>
        <w:t>旧村庄、旧城镇全面改造项目，</w:t>
      </w:r>
      <w:r>
        <w:rPr>
          <w:rFonts w:hint="eastAsia" w:ascii="仿宋_GB2312" w:hAnsi="仿宋_GB2312" w:eastAsia="仿宋_GB2312" w:cs="仿宋_GB2312"/>
          <w:spacing w:val="-6"/>
          <w:sz w:val="32"/>
          <w:szCs w:val="32"/>
          <w:highlight w:val="none"/>
        </w:rPr>
        <w:t>土地出让价款按照</w:t>
      </w:r>
      <w:r>
        <w:rPr>
          <w:rFonts w:hint="eastAsia" w:ascii="仿宋_GB2312" w:hAnsi="仿宋_GB2312" w:eastAsia="仿宋_GB2312" w:cs="仿宋_GB2312"/>
          <w:kern w:val="21"/>
          <w:sz w:val="32"/>
          <w:szCs w:val="32"/>
          <w:highlight w:val="none"/>
        </w:rPr>
        <w:t>以公开竞价的成交价确定</w:t>
      </w:r>
      <w:r>
        <w:rPr>
          <w:rFonts w:hint="eastAsia" w:ascii="仿宋_GB2312" w:hAnsi="仿宋_GB2312" w:eastAsia="仿宋_GB2312" w:cs="仿宋_GB2312"/>
          <w:kern w:val="21"/>
          <w:sz w:val="32"/>
          <w:szCs w:val="32"/>
          <w:highlight w:val="none"/>
          <w:lang w:eastAsia="zh-CN"/>
        </w:rPr>
        <w:t>。</w:t>
      </w:r>
      <w:r>
        <w:rPr>
          <w:rFonts w:hint="eastAsia" w:ascii="仿宋_GB2312" w:hAnsi="仿宋_GB2312" w:eastAsia="仿宋_GB2312" w:cs="仿宋_GB2312"/>
          <w:spacing w:val="-6"/>
          <w:sz w:val="32"/>
          <w:szCs w:val="32"/>
          <w:highlight w:val="none"/>
        </w:rPr>
        <w:t>改造前由村集体自愿转为国有的，扣除应计提的农业土地开发资金后，按40%分配</w:t>
      </w:r>
      <w:r>
        <w:rPr>
          <w:rFonts w:hint="eastAsia" w:ascii="仿宋_GB2312" w:hAnsi="仿宋_GB2312" w:eastAsia="仿宋_GB2312" w:cs="仿宋_GB2312"/>
          <w:spacing w:val="-6"/>
          <w:sz w:val="32"/>
          <w:szCs w:val="32"/>
          <w:highlight w:val="none"/>
          <w:lang w:val="en-US" w:eastAsia="zh-CN"/>
        </w:rPr>
        <w:t>给</w:t>
      </w:r>
      <w:r>
        <w:rPr>
          <w:rFonts w:hint="eastAsia" w:ascii="仿宋_GB2312" w:hAnsi="仿宋_GB2312" w:eastAsia="仿宋_GB2312" w:cs="仿宋_GB2312"/>
          <w:spacing w:val="-6"/>
          <w:sz w:val="32"/>
          <w:szCs w:val="32"/>
          <w:highlight w:val="none"/>
        </w:rPr>
        <w:t>原村集体。</w:t>
      </w:r>
      <w:r>
        <w:rPr>
          <w:rFonts w:hint="eastAsia" w:ascii="仿宋_GB2312" w:hAnsi="仿宋_GB2312" w:eastAsia="仿宋_GB2312" w:cs="仿宋_GB2312"/>
          <w:kern w:val="21"/>
          <w:sz w:val="32"/>
          <w:szCs w:val="32"/>
          <w:highlight w:val="none"/>
        </w:rPr>
        <w:t>旧村庄、旧城镇全面改造以外的项目，其地价款计收与分配按有关规定执行。</w:t>
      </w:r>
    </w:p>
    <w:p>
      <w:pPr>
        <w:spacing w:line="574" w:lineRule="exact"/>
        <w:ind w:firstLine="640" w:firstLineChars="200"/>
        <w:jc w:val="left"/>
        <w:rPr>
          <w:rFonts w:eastAsia="仿宋_GB2312"/>
          <w:highlight w:val="none"/>
        </w:rPr>
      </w:pPr>
      <w:r>
        <w:rPr>
          <w:rFonts w:hint="eastAsia" w:ascii="仿宋_GB2312" w:hAnsi="仿宋_GB2312" w:eastAsia="仿宋_GB2312" w:cs="仿宋_GB2312"/>
          <w:sz w:val="32"/>
          <w:szCs w:val="32"/>
          <w:highlight w:val="none"/>
        </w:rPr>
        <w:t>城市更新土地出让收益市级留成部分全额、</w:t>
      </w:r>
      <w:r>
        <w:rPr>
          <w:rFonts w:hint="eastAsia" w:ascii="仿宋_GB2312" w:hAnsi="仿宋_GB2312" w:eastAsia="仿宋_GB2312" w:cs="仿宋_GB2312"/>
          <w:sz w:val="32"/>
          <w:szCs w:val="32"/>
          <w:highlight w:val="none"/>
          <w:lang w:eastAsia="zh-CN"/>
        </w:rPr>
        <w:t>镇街</w:t>
      </w:r>
      <w:r>
        <w:rPr>
          <w:rFonts w:hint="eastAsia" w:ascii="仿宋_GB2312" w:hAnsi="仿宋_GB2312" w:eastAsia="仿宋_GB2312" w:cs="仿宋_GB2312"/>
          <w:sz w:val="32"/>
          <w:szCs w:val="32"/>
          <w:highlight w:val="none"/>
        </w:rPr>
        <w:t>留成部分不少于30%比例，按各自事权纳入市、</w:t>
      </w:r>
      <w:r>
        <w:rPr>
          <w:rFonts w:hint="eastAsia" w:ascii="仿宋_GB2312" w:hAnsi="仿宋_GB2312" w:eastAsia="仿宋_GB2312" w:cs="仿宋_GB2312"/>
          <w:sz w:val="32"/>
          <w:szCs w:val="32"/>
          <w:highlight w:val="none"/>
          <w:lang w:eastAsia="zh-CN"/>
        </w:rPr>
        <w:t>镇街</w:t>
      </w:r>
      <w:r>
        <w:rPr>
          <w:rFonts w:hint="eastAsia" w:ascii="仿宋_GB2312" w:hAnsi="仿宋_GB2312" w:eastAsia="仿宋_GB2312" w:cs="仿宋_GB2312"/>
          <w:sz w:val="32"/>
          <w:szCs w:val="32"/>
          <w:highlight w:val="none"/>
        </w:rPr>
        <w:t>专项资金管理，用于扶持低效工业园区连片改造，支持历史文化遗存和老旧小区等微改造，以及城市更新涉及的公益性设施等建设。</w:t>
      </w:r>
    </w:p>
    <w:p>
      <w:pPr>
        <w:autoSpaceDE w:val="0"/>
        <w:autoSpaceDN w:val="0"/>
        <w:spacing w:line="574" w:lineRule="exact"/>
        <w:ind w:firstLine="640" w:firstLineChars="200"/>
        <w:rPr>
          <w:rFonts w:ascii="仿宋_GB2312" w:hAnsi="仿宋_GB2312" w:eastAsia="仿宋_GB2312" w:cs="仿宋_GB2312"/>
          <w:strike/>
          <w:sz w:val="32"/>
          <w:szCs w:val="32"/>
          <w:highlight w:val="none"/>
        </w:rPr>
      </w:pPr>
      <w:r>
        <w:rPr>
          <w:rFonts w:hint="eastAsia" w:ascii="黑体" w:hAnsi="黑体" w:eastAsia="黑体" w:cs="黑体"/>
          <w:kern w:val="21"/>
          <w:sz w:val="32"/>
          <w:szCs w:val="32"/>
          <w:highlight w:val="none"/>
        </w:rPr>
        <w:t>第二十</w:t>
      </w:r>
      <w:r>
        <w:rPr>
          <w:rFonts w:hint="eastAsia" w:ascii="黑体" w:hAnsi="黑体" w:eastAsia="黑体" w:cs="黑体"/>
          <w:kern w:val="21"/>
          <w:sz w:val="32"/>
          <w:szCs w:val="32"/>
          <w:highlight w:val="none"/>
          <w:lang w:eastAsia="zh-CN"/>
        </w:rPr>
        <w:t>三</w:t>
      </w:r>
      <w:r>
        <w:rPr>
          <w:rFonts w:hint="eastAsia" w:ascii="黑体" w:hAnsi="黑体" w:eastAsia="黑体" w:cs="黑体"/>
          <w:kern w:val="21"/>
          <w:sz w:val="32"/>
          <w:szCs w:val="32"/>
          <w:highlight w:val="none"/>
        </w:rPr>
        <w:t>条【规范“工改商、住”】</w:t>
      </w:r>
      <w:r>
        <w:rPr>
          <w:rFonts w:hint="eastAsia" w:ascii="仿宋_GB2312" w:hAnsi="仿宋_GB2312" w:eastAsia="仿宋_GB2312" w:cs="仿宋_GB2312"/>
          <w:sz w:val="32"/>
          <w:szCs w:val="32"/>
          <w:highlight w:val="none"/>
        </w:rPr>
        <w:t>对城镇开发边界内、工业用地保护线划定规划范围外的工业用地，规划为住宅、商服用途，土地权利人自行搬（拆）迁整理土地后交政府收回（收储）的，可享受相应的土地收益补偿政策。其中，</w:t>
      </w:r>
      <w:r>
        <w:rPr>
          <w:rFonts w:hint="eastAsia" w:ascii="仿宋_GB2312" w:hAnsi="仿宋_GB2312" w:eastAsia="仿宋_GB2312" w:cs="仿宋_GB2312"/>
          <w:sz w:val="32"/>
          <w:szCs w:val="32"/>
          <w:highlight w:val="none"/>
          <w:lang w:eastAsia="zh-CN"/>
        </w:rPr>
        <w:t>规划为住宅用途的，须交</w:t>
      </w:r>
      <w:r>
        <w:rPr>
          <w:rFonts w:hint="eastAsia" w:ascii="仿宋_GB2312" w:hAnsi="仿宋_GB2312" w:eastAsia="仿宋_GB2312" w:cs="仿宋_GB2312"/>
          <w:sz w:val="32"/>
          <w:szCs w:val="32"/>
          <w:highlight w:val="none"/>
        </w:rPr>
        <w:t>政府收回（收储）</w:t>
      </w:r>
      <w:r>
        <w:rPr>
          <w:rFonts w:hint="eastAsia" w:ascii="仿宋_GB2312" w:hAnsi="仿宋_GB2312" w:eastAsia="仿宋_GB2312" w:cs="仿宋_GB2312"/>
          <w:sz w:val="32"/>
          <w:szCs w:val="32"/>
          <w:highlight w:val="none"/>
          <w:lang w:eastAsia="zh-CN"/>
        </w:rPr>
        <w:t>后以公开出让方式确定使用权人实施改造；</w:t>
      </w:r>
      <w:r>
        <w:rPr>
          <w:rFonts w:hint="eastAsia" w:ascii="仿宋_GB2312" w:hAnsi="仿宋_GB2312" w:eastAsia="仿宋_GB2312" w:cs="仿宋_GB2312"/>
          <w:sz w:val="32"/>
          <w:szCs w:val="32"/>
          <w:highlight w:val="none"/>
        </w:rPr>
        <w:t>规划为商服用途的，可由权利人自行改造，按规定补缴地价款。</w:t>
      </w:r>
    </w:p>
    <w:p>
      <w:pPr>
        <w:autoSpaceDE w:val="0"/>
        <w:autoSpaceDN w:val="0"/>
        <w:spacing w:line="574"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第二十</w:t>
      </w:r>
      <w:r>
        <w:rPr>
          <w:rFonts w:hint="eastAsia" w:ascii="黑体" w:hAnsi="黑体" w:eastAsia="黑体" w:cs="黑体"/>
          <w:sz w:val="32"/>
          <w:szCs w:val="32"/>
          <w:highlight w:val="none"/>
          <w:lang w:eastAsia="zh-CN"/>
        </w:rPr>
        <w:t>四</w:t>
      </w:r>
      <w:r>
        <w:rPr>
          <w:rFonts w:hint="eastAsia" w:ascii="黑体" w:hAnsi="黑体" w:eastAsia="黑体" w:cs="黑体"/>
          <w:sz w:val="32"/>
          <w:szCs w:val="32"/>
          <w:highlight w:val="none"/>
        </w:rPr>
        <w:t>条【行政裁决】</w:t>
      </w:r>
      <w:r>
        <w:rPr>
          <w:rFonts w:hint="eastAsia" w:ascii="仿宋_GB2312" w:hAnsi="仿宋_GB2312" w:eastAsia="仿宋_GB2312" w:cs="仿宋_GB2312"/>
          <w:sz w:val="32"/>
          <w:szCs w:val="32"/>
          <w:highlight w:val="none"/>
        </w:rPr>
        <w:t>城市更新项目多数原权利主体同意改造，少数原权利主体不同意改造的，按照《中华人民共和国土地管理法》及其实施条例、《国有土地上房屋</w:t>
      </w:r>
      <w:bookmarkStart w:id="3" w:name="_GoBack"/>
      <w:bookmarkEnd w:id="3"/>
      <w:r>
        <w:rPr>
          <w:rFonts w:hint="eastAsia" w:ascii="仿宋_GB2312" w:hAnsi="仿宋_GB2312" w:eastAsia="仿宋_GB2312" w:cs="仿宋_GB2312"/>
          <w:sz w:val="32"/>
          <w:szCs w:val="32"/>
          <w:highlight w:val="none"/>
        </w:rPr>
        <w:t>征收与补偿条例》相关规定处理。</w:t>
      </w:r>
    </w:p>
    <w:p>
      <w:pPr>
        <w:autoSpaceDE w:val="0"/>
        <w:autoSpaceDN w:val="0"/>
        <w:spacing w:line="574"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律法规没有规定的，对由市场主体实施且已批准改造方案的全面改造项目，特别是原有建（构）筑物存在不符合安全生产、城乡规划、生态环保、建筑结构安全、消防安全要求或妨害公共卫生、社会治安、公共安全、公共交通等情况的，若原权利人对搬（拆）迁补偿安置协议不能达成一致意见的，可以申请政府裁决。</w:t>
      </w:r>
    </w:p>
    <w:p>
      <w:pPr>
        <w:autoSpaceDE w:val="0"/>
        <w:autoSpaceDN w:val="0"/>
        <w:spacing w:line="574" w:lineRule="exact"/>
        <w:ind w:firstLine="640" w:firstLineChars="200"/>
        <w:rPr>
          <w:rFonts w:hint="default"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u w:val="none"/>
        </w:rPr>
        <w:t>对由市场主体实施且已批准改造方案的全面改造项目，经市政府启动征收与补偿程序并完成拆迁的土地，</w:t>
      </w:r>
      <w:r>
        <w:rPr>
          <w:rFonts w:hint="eastAsia" w:ascii="仿宋_GB2312" w:hAnsi="仿宋_GB2312" w:eastAsia="仿宋_GB2312" w:cs="仿宋_GB2312"/>
          <w:sz w:val="32"/>
          <w:szCs w:val="32"/>
          <w:highlight w:val="none"/>
          <w:u w:val="none"/>
          <w:lang w:val="en-US" w:eastAsia="zh-CN"/>
        </w:rPr>
        <w:t>如</w:t>
      </w:r>
      <w:r>
        <w:rPr>
          <w:rFonts w:hint="eastAsia" w:ascii="仿宋_GB2312" w:hAnsi="仿宋_GB2312" w:eastAsia="仿宋_GB2312" w:cs="仿宋_GB2312"/>
          <w:sz w:val="32"/>
          <w:szCs w:val="32"/>
          <w:highlight w:val="none"/>
          <w:u w:val="none"/>
        </w:rPr>
        <w:t>单个地块面积小于0.2公顷（折3亩）</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累计不超过项目主体地块面积10%的，可作为“三地”</w:t>
      </w:r>
      <w:r>
        <w:rPr>
          <w:rFonts w:hint="eastAsia" w:ascii="仿宋_GB2312" w:hAnsi="仿宋_GB2312" w:eastAsia="仿宋_GB2312" w:cs="仿宋_GB2312"/>
          <w:sz w:val="32"/>
          <w:szCs w:val="32"/>
          <w:highlight w:val="none"/>
          <w:u w:val="none"/>
          <w:lang w:val="en-US" w:eastAsia="zh-CN"/>
        </w:rPr>
        <w:t>供地给该</w:t>
      </w:r>
      <w:r>
        <w:rPr>
          <w:rFonts w:hint="eastAsia" w:ascii="仿宋_GB2312" w:hAnsi="仿宋_GB2312" w:eastAsia="仿宋_GB2312" w:cs="仿宋_GB2312"/>
          <w:sz w:val="32"/>
          <w:szCs w:val="32"/>
          <w:highlight w:val="none"/>
          <w:u w:val="none"/>
        </w:rPr>
        <w:t>市场主体</w:t>
      </w:r>
      <w:r>
        <w:rPr>
          <w:rFonts w:hint="eastAsia" w:ascii="仿宋_GB2312" w:hAnsi="仿宋_GB2312" w:eastAsia="仿宋_GB2312" w:cs="仿宋_GB2312"/>
          <w:sz w:val="32"/>
          <w:szCs w:val="32"/>
          <w:highlight w:val="none"/>
          <w:u w:val="none"/>
          <w:lang w:val="en-US" w:eastAsia="zh-CN"/>
        </w:rPr>
        <w:t>实施</w:t>
      </w:r>
      <w:r>
        <w:rPr>
          <w:rFonts w:hint="eastAsia" w:ascii="仿宋_GB2312" w:hAnsi="仿宋_GB2312" w:eastAsia="仿宋_GB2312" w:cs="仿宋_GB2312"/>
          <w:sz w:val="32"/>
          <w:szCs w:val="32"/>
          <w:highlight w:val="none"/>
          <w:u w:val="none"/>
        </w:rPr>
        <w:t>改造。</w:t>
      </w:r>
    </w:p>
    <w:p>
      <w:pPr>
        <w:pStyle w:val="2"/>
        <w:keepNext w:val="0"/>
        <w:keepLines w:val="0"/>
        <w:autoSpaceDE w:val="0"/>
        <w:autoSpaceDN w:val="0"/>
        <w:spacing w:line="560" w:lineRule="exact"/>
        <w:rPr>
          <w:highlight w:val="none"/>
        </w:rPr>
      </w:pPr>
    </w:p>
    <w:p>
      <w:pPr>
        <w:pStyle w:val="7"/>
        <w:widowControl w:val="0"/>
        <w:autoSpaceDE w:val="0"/>
        <w:autoSpaceDN w:val="0"/>
        <w:spacing w:line="560" w:lineRule="exact"/>
        <w:jc w:val="center"/>
        <w:rPr>
          <w:rFonts w:ascii="黑体" w:hAnsi="黑体" w:eastAsia="黑体" w:cs="黑体"/>
          <w:sz w:val="32"/>
          <w:szCs w:val="32"/>
          <w:highlight w:val="none"/>
        </w:rPr>
      </w:pPr>
      <w:r>
        <w:rPr>
          <w:rFonts w:hint="eastAsia" w:ascii="黑体" w:hAnsi="黑体" w:eastAsia="黑体" w:cs="黑体"/>
          <w:sz w:val="32"/>
          <w:szCs w:val="32"/>
          <w:highlight w:val="none"/>
        </w:rPr>
        <w:t>第四章    监督管理</w:t>
      </w:r>
    </w:p>
    <w:p>
      <w:pPr>
        <w:pStyle w:val="7"/>
        <w:widowControl w:val="0"/>
        <w:autoSpaceDE w:val="0"/>
        <w:autoSpaceDN w:val="0"/>
        <w:spacing w:line="560" w:lineRule="exact"/>
        <w:jc w:val="center"/>
        <w:rPr>
          <w:rFonts w:ascii="黑体" w:hAnsi="黑体" w:eastAsia="黑体" w:cs="黑体"/>
          <w:sz w:val="32"/>
          <w:szCs w:val="32"/>
          <w:highlight w:val="none"/>
        </w:rPr>
      </w:pPr>
    </w:p>
    <w:p>
      <w:pPr>
        <w:pStyle w:val="7"/>
        <w:widowControl w:val="0"/>
        <w:autoSpaceDE w:val="0"/>
        <w:autoSpaceDN w:val="0"/>
        <w:spacing w:line="574" w:lineRule="exact"/>
        <w:ind w:firstLine="640" w:firstLineChars="200"/>
        <w:jc w:val="both"/>
        <w:rPr>
          <w:rFonts w:ascii="仿宋_GB2312" w:hAnsi="仿宋_GB2312" w:eastAsia="仿宋_GB2312" w:cs="仿宋_GB2312"/>
          <w:kern w:val="21"/>
          <w:sz w:val="32"/>
          <w:szCs w:val="32"/>
          <w:highlight w:val="none"/>
          <w:lang w:val="zh-CN"/>
        </w:rPr>
      </w:pPr>
      <w:r>
        <w:rPr>
          <w:rFonts w:hint="eastAsia" w:ascii="黑体" w:hAnsi="黑体" w:eastAsia="黑体" w:cs="黑体"/>
          <w:kern w:val="21"/>
          <w:sz w:val="32"/>
          <w:szCs w:val="32"/>
          <w:highlight w:val="none"/>
          <w:lang w:val="zh-CN"/>
        </w:rPr>
        <w:t>第二十五条【信息公开】</w:t>
      </w:r>
      <w:r>
        <w:rPr>
          <w:rFonts w:hint="eastAsia" w:ascii="仿宋_GB2312" w:hAnsi="仿宋_GB2312" w:eastAsia="仿宋_GB2312" w:cs="仿宋_GB2312"/>
          <w:kern w:val="21"/>
          <w:sz w:val="32"/>
          <w:szCs w:val="32"/>
          <w:highlight w:val="none"/>
          <w:lang w:val="zh-CN"/>
        </w:rPr>
        <w:t>城市更新项目中具有经济初步可行性项目的改造意愿调查结果、基础数据调查结果、已批准的单元计划、单元规划、改造方案、招商方案、项目监管协议，公开交易的结果及确认的改造主体结果信息应按规定公开。</w:t>
      </w:r>
    </w:p>
    <w:p>
      <w:pPr>
        <w:spacing w:line="574" w:lineRule="exact"/>
        <w:ind w:firstLine="640" w:firstLineChars="200"/>
        <w:rPr>
          <w:rFonts w:ascii="黑体" w:hAnsi="黑体" w:eastAsia="黑体" w:cs="黑体"/>
          <w:sz w:val="32"/>
          <w:highlight w:val="none"/>
        </w:rPr>
      </w:pPr>
      <w:r>
        <w:rPr>
          <w:rFonts w:hint="eastAsia" w:ascii="黑体" w:hAnsi="黑体" w:eastAsia="黑体" w:cs="黑体"/>
          <w:sz w:val="32"/>
          <w:highlight w:val="none"/>
        </w:rPr>
        <w:t>第二十</w:t>
      </w:r>
      <w:r>
        <w:rPr>
          <w:rFonts w:hint="eastAsia" w:ascii="黑体" w:hAnsi="黑体" w:eastAsia="黑体" w:cs="黑体"/>
          <w:sz w:val="32"/>
          <w:highlight w:val="none"/>
          <w:lang w:eastAsia="zh-CN"/>
        </w:rPr>
        <w:t>六</w:t>
      </w:r>
      <w:r>
        <w:rPr>
          <w:rFonts w:hint="eastAsia" w:ascii="黑体" w:hAnsi="黑体" w:eastAsia="黑体" w:cs="黑体"/>
          <w:sz w:val="32"/>
          <w:highlight w:val="none"/>
        </w:rPr>
        <w:t>条【改造主体责任】</w:t>
      </w:r>
      <w:r>
        <w:rPr>
          <w:rFonts w:hint="eastAsia" w:ascii="仿宋_GB2312" w:hAnsi="仿宋_GB2312" w:eastAsia="仿宋_GB2312" w:cs="仿宋_GB2312"/>
          <w:kern w:val="21"/>
          <w:sz w:val="32"/>
          <w:szCs w:val="32"/>
          <w:highlight w:val="none"/>
          <w:lang w:val="zh-CN"/>
        </w:rPr>
        <w:t>对纳入城市更新范围、享受相关优惠政策的项目，除政府整备改造的项目外，改造主体应当与属地镇街政府签订项目监管协议，明确项目动工、竣工时限和相应违约责任等。</w:t>
      </w:r>
    </w:p>
    <w:p>
      <w:pPr>
        <w:spacing w:line="574"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highlight w:val="none"/>
        </w:rPr>
        <w:t>改造主体未依约依规实施改造的，由</w:t>
      </w:r>
      <w:r>
        <w:rPr>
          <w:rFonts w:hint="eastAsia" w:ascii="仿宋_GB2312" w:hAnsi="仿宋_GB2312" w:eastAsia="仿宋_GB2312" w:cs="仿宋_GB2312"/>
          <w:sz w:val="32"/>
          <w:highlight w:val="none"/>
          <w:lang w:eastAsia="zh-CN"/>
        </w:rPr>
        <w:t>镇街政府</w:t>
      </w:r>
      <w:r>
        <w:rPr>
          <w:rFonts w:hint="eastAsia" w:ascii="仿宋_GB2312" w:hAnsi="仿宋_GB2312" w:eastAsia="仿宋_GB2312" w:cs="仿宋_GB2312"/>
          <w:sz w:val="32"/>
          <w:highlight w:val="none"/>
        </w:rPr>
        <w:t>责令改造主体限期整改，拒不整改的，</w:t>
      </w:r>
      <w:r>
        <w:rPr>
          <w:rFonts w:hint="eastAsia" w:ascii="仿宋_GB2312" w:hAnsi="仿宋_GB2312" w:eastAsia="仿宋_GB2312" w:cs="仿宋_GB2312"/>
          <w:sz w:val="32"/>
          <w:highlight w:val="none"/>
          <w:lang w:eastAsia="zh-CN"/>
        </w:rPr>
        <w:t>镇街政府</w:t>
      </w:r>
      <w:r>
        <w:rPr>
          <w:rFonts w:hint="eastAsia" w:ascii="仿宋_GB2312" w:hAnsi="仿宋_GB2312" w:eastAsia="仿宋_GB2312" w:cs="仿宋_GB2312"/>
          <w:sz w:val="32"/>
          <w:highlight w:val="none"/>
        </w:rPr>
        <w:t>可提请市政府撤销对改造方案的批复，</w:t>
      </w:r>
      <w:r>
        <w:rPr>
          <w:rFonts w:hint="eastAsia" w:ascii="仿宋_GB2312" w:hAnsi="仿宋_GB2312" w:eastAsia="仿宋_GB2312" w:cs="仿宋_GB2312"/>
          <w:sz w:val="32"/>
          <w:szCs w:val="32"/>
          <w:highlight w:val="none"/>
        </w:rPr>
        <w:t>并将改造主体失信行为纳入信用记录向社会公布，依法限制改造主体参与其他城市更新项目。</w:t>
      </w:r>
    </w:p>
    <w:p>
      <w:pPr>
        <w:autoSpaceDE w:val="0"/>
        <w:autoSpaceDN w:val="0"/>
        <w:spacing w:line="574" w:lineRule="exact"/>
        <w:ind w:firstLine="640" w:firstLineChars="200"/>
        <w:rPr>
          <w:rFonts w:ascii="仿宋_GB2312" w:hAnsi="仿宋_GB2312" w:eastAsia="仿宋_GB2312" w:cs="仿宋_GB2312"/>
          <w:sz w:val="32"/>
          <w:highlight w:val="none"/>
        </w:rPr>
      </w:pPr>
      <w:r>
        <w:rPr>
          <w:rFonts w:hint="eastAsia" w:ascii="黑体" w:hAnsi="黑体" w:eastAsia="黑体" w:cs="黑体"/>
          <w:sz w:val="32"/>
          <w:highlight w:val="none"/>
        </w:rPr>
        <w:t>第二十</w:t>
      </w:r>
      <w:r>
        <w:rPr>
          <w:rFonts w:hint="eastAsia" w:ascii="黑体" w:hAnsi="黑体" w:eastAsia="黑体" w:cs="黑体"/>
          <w:sz w:val="32"/>
          <w:highlight w:val="none"/>
          <w:lang w:eastAsia="zh-CN"/>
        </w:rPr>
        <w:t>七</w:t>
      </w:r>
      <w:r>
        <w:rPr>
          <w:rFonts w:hint="eastAsia" w:ascii="黑体" w:hAnsi="黑体" w:eastAsia="黑体" w:cs="黑体"/>
          <w:sz w:val="32"/>
          <w:highlight w:val="none"/>
        </w:rPr>
        <w:t>条【</w:t>
      </w:r>
      <w:r>
        <w:rPr>
          <w:rFonts w:hint="eastAsia" w:ascii="黑体" w:hAnsi="黑体" w:eastAsia="黑体" w:cs="黑体"/>
          <w:sz w:val="32"/>
          <w:highlight w:val="none"/>
          <w:lang w:eastAsia="zh-CN"/>
        </w:rPr>
        <w:t>部门及人员</w:t>
      </w:r>
      <w:r>
        <w:rPr>
          <w:rFonts w:hint="eastAsia" w:ascii="黑体" w:hAnsi="黑体" w:eastAsia="黑体" w:cs="黑体"/>
          <w:sz w:val="32"/>
          <w:highlight w:val="none"/>
        </w:rPr>
        <w:t>责任】</w:t>
      </w:r>
      <w:r>
        <w:rPr>
          <w:rFonts w:hint="eastAsia" w:ascii="仿宋_GB2312" w:hAnsi="仿宋_GB2312" w:eastAsia="仿宋_GB2312" w:cs="仿宋_GB2312"/>
          <w:sz w:val="32"/>
          <w:highlight w:val="none"/>
        </w:rPr>
        <w:t>政府相关部门及其工作人员在城市更新工作中存在违法违纪行为的，由纪检监察部门依法依规追究责任；涉嫌犯罪的，依法移送司法机关处理。</w:t>
      </w:r>
    </w:p>
    <w:p>
      <w:pPr>
        <w:rPr>
          <w:highlight w:val="none"/>
        </w:rPr>
      </w:pPr>
    </w:p>
    <w:p>
      <w:pPr>
        <w:autoSpaceDE w:val="0"/>
        <w:autoSpaceDN w:val="0"/>
        <w:spacing w:line="560" w:lineRule="exact"/>
        <w:jc w:val="center"/>
        <w:rPr>
          <w:rFonts w:ascii="黑体" w:hAnsi="黑体" w:eastAsia="黑体" w:cs="黑体"/>
          <w:sz w:val="32"/>
          <w:szCs w:val="32"/>
          <w:highlight w:val="none"/>
        </w:rPr>
      </w:pPr>
      <w:r>
        <w:rPr>
          <w:rFonts w:hint="eastAsia" w:ascii="黑体" w:hAnsi="黑体" w:eastAsia="黑体" w:cs="黑体"/>
          <w:sz w:val="32"/>
          <w:szCs w:val="32"/>
          <w:highlight w:val="none"/>
        </w:rPr>
        <w:t>第五章    附  则</w:t>
      </w:r>
    </w:p>
    <w:p>
      <w:pPr>
        <w:autoSpaceDE w:val="0"/>
        <w:autoSpaceDN w:val="0"/>
        <w:spacing w:line="560" w:lineRule="exact"/>
        <w:rPr>
          <w:rFonts w:ascii="仿宋_GB2312" w:hAnsi="仿宋_GB2312" w:eastAsia="仿宋_GB2312" w:cs="仿宋_GB2312"/>
          <w:sz w:val="32"/>
          <w:szCs w:val="32"/>
          <w:highlight w:val="none"/>
        </w:rPr>
      </w:pPr>
    </w:p>
    <w:p>
      <w:pPr>
        <w:autoSpaceDE w:val="0"/>
        <w:autoSpaceDN w:val="0"/>
        <w:spacing w:line="560" w:lineRule="exact"/>
        <w:ind w:firstLine="640" w:firstLineChars="200"/>
        <w:rPr>
          <w:rFonts w:ascii="黑体" w:hAnsi="黑体" w:eastAsia="黑体"/>
          <w:sz w:val="32"/>
          <w:szCs w:val="2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val="en-US" w:eastAsia="zh-CN"/>
        </w:rPr>
        <w:t>二十八</w:t>
      </w:r>
      <w:r>
        <w:rPr>
          <w:rFonts w:hint="eastAsia" w:ascii="黑体" w:hAnsi="黑体" w:eastAsia="黑体" w:cs="黑体"/>
          <w:sz w:val="32"/>
          <w:szCs w:val="32"/>
          <w:highlight w:val="none"/>
        </w:rPr>
        <w:t>条【施行日期】</w:t>
      </w:r>
      <w:r>
        <w:rPr>
          <w:rFonts w:hint="eastAsia" w:ascii="仿宋_GB2312" w:hAnsi="仿宋_GB2312" w:eastAsia="仿宋_GB2312" w:cs="仿宋_GB2312"/>
          <w:sz w:val="32"/>
          <w:szCs w:val="32"/>
          <w:highlight w:val="none"/>
        </w:rPr>
        <w:t>本办法自印发之日起施行，有效期5年。《中山市“三旧”改造实施办法（试行）》（中府〔2018〕55号）同时废止，本办法实施前有关政策与本办法规定不一致的，以本办法为准。</w:t>
      </w:r>
    </w:p>
    <w:sectPr>
      <w:footerReference r:id="rId3" w:type="default"/>
      <w:pgSz w:w="11906" w:h="16838"/>
      <w:pgMar w:top="1531" w:right="1531" w:bottom="1531"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wps:txbx>
                    <wps:bodyPr vert="horz" wrap="none" lIns="0" tIns="0" rIns="0" bIns="0" anchor="t">
                      <a:spAutoFit/>
                    </wps:bodyPr>
                  </wps:wsp>
                </a:graphicData>
              </a:graphic>
            </wp:anchor>
          </w:drawing>
        </mc:Choice>
        <mc:Fallback>
          <w:pict>
            <v:shape id="文本框 1025" o:spid="_x0000_s1026" o:spt="202" type="#_x0000_t202" style="position:absolute;left:0pt;margin-top:0pt;height:11pt;width:4.6pt;mso-position-horizontal:center;mso-position-horizontal-relative:margin;mso-wrap-style:none;z-index:251658240;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LW7l30AAAAAIBAAAPAAAAAAAAAAEAIAAAACIAAABkcnMvZG93bnJldi54bWxQSwECFAAU&#10;AAAACACHTuJAbXRTdcABAABkAwAADgAAAAAAAAABACAAAAAfAQAAZHJzL2Uyb0RvYy54bWxQSwUG&#10;AAAAAAYABgBZAQAAUQ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A90A81"/>
    <w:multiLevelType w:val="multilevel"/>
    <w:tmpl w:val="46A90A81"/>
    <w:lvl w:ilvl="0" w:tentative="0">
      <w:start w:val="1"/>
      <w:numFmt w:val="japaneseCounting"/>
      <w:lvlText w:val="第%1章"/>
      <w:lvlJc w:val="left"/>
      <w:pPr>
        <w:ind w:left="1440" w:hanging="14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F431B14"/>
    <w:multiLevelType w:val="singleLevel"/>
    <w:tmpl w:val="5F431B14"/>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12"/>
    <w:rsid w:val="00006ADC"/>
    <w:rsid w:val="000125D9"/>
    <w:rsid w:val="000166F9"/>
    <w:rsid w:val="00024172"/>
    <w:rsid w:val="00036483"/>
    <w:rsid w:val="0003698C"/>
    <w:rsid w:val="000424E4"/>
    <w:rsid w:val="000463DD"/>
    <w:rsid w:val="00081C9C"/>
    <w:rsid w:val="00082E42"/>
    <w:rsid w:val="00086FDC"/>
    <w:rsid w:val="00095F97"/>
    <w:rsid w:val="00097055"/>
    <w:rsid w:val="000A355E"/>
    <w:rsid w:val="000A46C4"/>
    <w:rsid w:val="000B3D7C"/>
    <w:rsid w:val="000C06D8"/>
    <w:rsid w:val="000D6078"/>
    <w:rsid w:val="000D61A2"/>
    <w:rsid w:val="000D73F7"/>
    <w:rsid w:val="000E0896"/>
    <w:rsid w:val="000E178B"/>
    <w:rsid w:val="000F2BF8"/>
    <w:rsid w:val="000F4E4F"/>
    <w:rsid w:val="0010626E"/>
    <w:rsid w:val="00112927"/>
    <w:rsid w:val="001131E3"/>
    <w:rsid w:val="0011586E"/>
    <w:rsid w:val="00120FC5"/>
    <w:rsid w:val="00145640"/>
    <w:rsid w:val="00151230"/>
    <w:rsid w:val="00167620"/>
    <w:rsid w:val="0017182A"/>
    <w:rsid w:val="00172A27"/>
    <w:rsid w:val="00175A49"/>
    <w:rsid w:val="00186C7E"/>
    <w:rsid w:val="00187A13"/>
    <w:rsid w:val="0019275E"/>
    <w:rsid w:val="001B2425"/>
    <w:rsid w:val="001B491D"/>
    <w:rsid w:val="001B52C8"/>
    <w:rsid w:val="001B5EB4"/>
    <w:rsid w:val="001B7095"/>
    <w:rsid w:val="001E44C9"/>
    <w:rsid w:val="001F284D"/>
    <w:rsid w:val="001F3E63"/>
    <w:rsid w:val="002058B2"/>
    <w:rsid w:val="00214B68"/>
    <w:rsid w:val="00242F58"/>
    <w:rsid w:val="0024447E"/>
    <w:rsid w:val="002474E2"/>
    <w:rsid w:val="00266C92"/>
    <w:rsid w:val="00272812"/>
    <w:rsid w:val="00277B88"/>
    <w:rsid w:val="00290DD2"/>
    <w:rsid w:val="00293459"/>
    <w:rsid w:val="002956C2"/>
    <w:rsid w:val="0029634B"/>
    <w:rsid w:val="00297AD0"/>
    <w:rsid w:val="002B5642"/>
    <w:rsid w:val="002D604C"/>
    <w:rsid w:val="002D7EC9"/>
    <w:rsid w:val="002E4CC8"/>
    <w:rsid w:val="002F741B"/>
    <w:rsid w:val="003139AF"/>
    <w:rsid w:val="00322CFA"/>
    <w:rsid w:val="003353F0"/>
    <w:rsid w:val="00335718"/>
    <w:rsid w:val="0033677D"/>
    <w:rsid w:val="00337D9A"/>
    <w:rsid w:val="00346532"/>
    <w:rsid w:val="003476AD"/>
    <w:rsid w:val="003548BE"/>
    <w:rsid w:val="00354B03"/>
    <w:rsid w:val="003573B6"/>
    <w:rsid w:val="003633BC"/>
    <w:rsid w:val="0038591C"/>
    <w:rsid w:val="00387682"/>
    <w:rsid w:val="003877DD"/>
    <w:rsid w:val="003914A2"/>
    <w:rsid w:val="00394920"/>
    <w:rsid w:val="003A1A05"/>
    <w:rsid w:val="003A293B"/>
    <w:rsid w:val="003A3C23"/>
    <w:rsid w:val="003B0FC5"/>
    <w:rsid w:val="003C4CE6"/>
    <w:rsid w:val="003C5DE0"/>
    <w:rsid w:val="003D477C"/>
    <w:rsid w:val="003D7436"/>
    <w:rsid w:val="003E381B"/>
    <w:rsid w:val="003E6FEE"/>
    <w:rsid w:val="003E746F"/>
    <w:rsid w:val="003E7EE6"/>
    <w:rsid w:val="00400D73"/>
    <w:rsid w:val="00401575"/>
    <w:rsid w:val="0041483C"/>
    <w:rsid w:val="00420005"/>
    <w:rsid w:val="0042571E"/>
    <w:rsid w:val="004405EC"/>
    <w:rsid w:val="0044533F"/>
    <w:rsid w:val="0045099E"/>
    <w:rsid w:val="00450BD1"/>
    <w:rsid w:val="00451468"/>
    <w:rsid w:val="00451998"/>
    <w:rsid w:val="0045599D"/>
    <w:rsid w:val="004571DB"/>
    <w:rsid w:val="00465FB1"/>
    <w:rsid w:val="00470052"/>
    <w:rsid w:val="004772C1"/>
    <w:rsid w:val="00484991"/>
    <w:rsid w:val="004853FA"/>
    <w:rsid w:val="004908D2"/>
    <w:rsid w:val="00493E07"/>
    <w:rsid w:val="004C3C40"/>
    <w:rsid w:val="004C6A57"/>
    <w:rsid w:val="004E15AE"/>
    <w:rsid w:val="004F1A30"/>
    <w:rsid w:val="004F5994"/>
    <w:rsid w:val="0050243F"/>
    <w:rsid w:val="00506903"/>
    <w:rsid w:val="00511900"/>
    <w:rsid w:val="00527C8A"/>
    <w:rsid w:val="00531ACC"/>
    <w:rsid w:val="00535D83"/>
    <w:rsid w:val="00537533"/>
    <w:rsid w:val="00541250"/>
    <w:rsid w:val="00552432"/>
    <w:rsid w:val="005604DA"/>
    <w:rsid w:val="005641B9"/>
    <w:rsid w:val="00572193"/>
    <w:rsid w:val="00587BFA"/>
    <w:rsid w:val="00593E89"/>
    <w:rsid w:val="00595B40"/>
    <w:rsid w:val="0059720F"/>
    <w:rsid w:val="005A7854"/>
    <w:rsid w:val="005B0EDE"/>
    <w:rsid w:val="005C0E3F"/>
    <w:rsid w:val="005C720D"/>
    <w:rsid w:val="005E786C"/>
    <w:rsid w:val="005F20D9"/>
    <w:rsid w:val="0060101C"/>
    <w:rsid w:val="006222DF"/>
    <w:rsid w:val="006254B8"/>
    <w:rsid w:val="006308C2"/>
    <w:rsid w:val="00634F59"/>
    <w:rsid w:val="0063583B"/>
    <w:rsid w:val="00644EF5"/>
    <w:rsid w:val="006560A2"/>
    <w:rsid w:val="00657F75"/>
    <w:rsid w:val="006646F3"/>
    <w:rsid w:val="00672483"/>
    <w:rsid w:val="006767E3"/>
    <w:rsid w:val="006A089B"/>
    <w:rsid w:val="006B387B"/>
    <w:rsid w:val="006E1EAD"/>
    <w:rsid w:val="006E7112"/>
    <w:rsid w:val="006F483C"/>
    <w:rsid w:val="006F7190"/>
    <w:rsid w:val="00707CBC"/>
    <w:rsid w:val="007121BC"/>
    <w:rsid w:val="007125C9"/>
    <w:rsid w:val="00724AF0"/>
    <w:rsid w:val="00725915"/>
    <w:rsid w:val="00732549"/>
    <w:rsid w:val="00732AD1"/>
    <w:rsid w:val="00733EFD"/>
    <w:rsid w:val="00736A9F"/>
    <w:rsid w:val="0075331B"/>
    <w:rsid w:val="0078169A"/>
    <w:rsid w:val="0078181A"/>
    <w:rsid w:val="00783378"/>
    <w:rsid w:val="00784117"/>
    <w:rsid w:val="00790C23"/>
    <w:rsid w:val="0079242E"/>
    <w:rsid w:val="00792AD3"/>
    <w:rsid w:val="007A4523"/>
    <w:rsid w:val="007C238F"/>
    <w:rsid w:val="007C3E3D"/>
    <w:rsid w:val="007C5D8B"/>
    <w:rsid w:val="007E1488"/>
    <w:rsid w:val="007E2076"/>
    <w:rsid w:val="007E6776"/>
    <w:rsid w:val="007F1FCA"/>
    <w:rsid w:val="007F69A1"/>
    <w:rsid w:val="007F7B35"/>
    <w:rsid w:val="007F7B80"/>
    <w:rsid w:val="00800570"/>
    <w:rsid w:val="00812232"/>
    <w:rsid w:val="00821850"/>
    <w:rsid w:val="00821E37"/>
    <w:rsid w:val="008230F1"/>
    <w:rsid w:val="0083346E"/>
    <w:rsid w:val="00842829"/>
    <w:rsid w:val="00854103"/>
    <w:rsid w:val="00860C09"/>
    <w:rsid w:val="00876FF6"/>
    <w:rsid w:val="00887228"/>
    <w:rsid w:val="008A1E31"/>
    <w:rsid w:val="008A2ED9"/>
    <w:rsid w:val="008A3920"/>
    <w:rsid w:val="008A56D3"/>
    <w:rsid w:val="008A7542"/>
    <w:rsid w:val="008B1929"/>
    <w:rsid w:val="008B45E1"/>
    <w:rsid w:val="008C6FD9"/>
    <w:rsid w:val="008D5BC4"/>
    <w:rsid w:val="008D7B66"/>
    <w:rsid w:val="008E670E"/>
    <w:rsid w:val="008E7548"/>
    <w:rsid w:val="00907770"/>
    <w:rsid w:val="009079DD"/>
    <w:rsid w:val="009303DE"/>
    <w:rsid w:val="0093549B"/>
    <w:rsid w:val="0094511A"/>
    <w:rsid w:val="009452CB"/>
    <w:rsid w:val="00946AC8"/>
    <w:rsid w:val="0095250E"/>
    <w:rsid w:val="00964715"/>
    <w:rsid w:val="0096715E"/>
    <w:rsid w:val="00971B89"/>
    <w:rsid w:val="00986B6A"/>
    <w:rsid w:val="00997AD6"/>
    <w:rsid w:val="009A0726"/>
    <w:rsid w:val="009B13CC"/>
    <w:rsid w:val="009D1BFE"/>
    <w:rsid w:val="009D38B8"/>
    <w:rsid w:val="009D408A"/>
    <w:rsid w:val="009D585E"/>
    <w:rsid w:val="00A00A32"/>
    <w:rsid w:val="00A076C1"/>
    <w:rsid w:val="00A10E85"/>
    <w:rsid w:val="00A10F26"/>
    <w:rsid w:val="00A27C13"/>
    <w:rsid w:val="00A5165A"/>
    <w:rsid w:val="00A56A8C"/>
    <w:rsid w:val="00A63F23"/>
    <w:rsid w:val="00A6592B"/>
    <w:rsid w:val="00A70702"/>
    <w:rsid w:val="00A749F8"/>
    <w:rsid w:val="00A80596"/>
    <w:rsid w:val="00A80FC3"/>
    <w:rsid w:val="00A81450"/>
    <w:rsid w:val="00A81833"/>
    <w:rsid w:val="00A83E8F"/>
    <w:rsid w:val="00A87811"/>
    <w:rsid w:val="00A907AB"/>
    <w:rsid w:val="00A9119E"/>
    <w:rsid w:val="00A914F0"/>
    <w:rsid w:val="00A91AE0"/>
    <w:rsid w:val="00AA2E56"/>
    <w:rsid w:val="00AD0B0B"/>
    <w:rsid w:val="00AD0F44"/>
    <w:rsid w:val="00AD2215"/>
    <w:rsid w:val="00AD47F5"/>
    <w:rsid w:val="00AE2DB8"/>
    <w:rsid w:val="00AE4BE5"/>
    <w:rsid w:val="00AE5DFF"/>
    <w:rsid w:val="00AF0467"/>
    <w:rsid w:val="00AF4A18"/>
    <w:rsid w:val="00B111F3"/>
    <w:rsid w:val="00B12DB6"/>
    <w:rsid w:val="00B1614C"/>
    <w:rsid w:val="00B1793F"/>
    <w:rsid w:val="00B322D0"/>
    <w:rsid w:val="00B339EF"/>
    <w:rsid w:val="00B3577F"/>
    <w:rsid w:val="00B81FC0"/>
    <w:rsid w:val="00B83EFA"/>
    <w:rsid w:val="00B932F3"/>
    <w:rsid w:val="00BA60C5"/>
    <w:rsid w:val="00BB0756"/>
    <w:rsid w:val="00BC4D3C"/>
    <w:rsid w:val="00BE4657"/>
    <w:rsid w:val="00BF1434"/>
    <w:rsid w:val="00BF57FC"/>
    <w:rsid w:val="00C020D7"/>
    <w:rsid w:val="00C066E7"/>
    <w:rsid w:val="00C10702"/>
    <w:rsid w:val="00C126DC"/>
    <w:rsid w:val="00C144BE"/>
    <w:rsid w:val="00C278C4"/>
    <w:rsid w:val="00C37512"/>
    <w:rsid w:val="00C43BD6"/>
    <w:rsid w:val="00C473C6"/>
    <w:rsid w:val="00C52D4C"/>
    <w:rsid w:val="00C67599"/>
    <w:rsid w:val="00C9018E"/>
    <w:rsid w:val="00C92BCB"/>
    <w:rsid w:val="00C94A8E"/>
    <w:rsid w:val="00CB01B2"/>
    <w:rsid w:val="00CC3316"/>
    <w:rsid w:val="00CE4C5F"/>
    <w:rsid w:val="00CE502C"/>
    <w:rsid w:val="00CE7BD6"/>
    <w:rsid w:val="00CF6532"/>
    <w:rsid w:val="00D01E83"/>
    <w:rsid w:val="00D05AD2"/>
    <w:rsid w:val="00D2622B"/>
    <w:rsid w:val="00D31FE9"/>
    <w:rsid w:val="00D43C3C"/>
    <w:rsid w:val="00D4435F"/>
    <w:rsid w:val="00D5493E"/>
    <w:rsid w:val="00D622F3"/>
    <w:rsid w:val="00D93C1E"/>
    <w:rsid w:val="00DA5112"/>
    <w:rsid w:val="00DB03C1"/>
    <w:rsid w:val="00DB13C6"/>
    <w:rsid w:val="00DB16D1"/>
    <w:rsid w:val="00DC3A10"/>
    <w:rsid w:val="00DC485E"/>
    <w:rsid w:val="00DC6616"/>
    <w:rsid w:val="00DD0B4A"/>
    <w:rsid w:val="00DE2690"/>
    <w:rsid w:val="00DE2931"/>
    <w:rsid w:val="00DE4FF9"/>
    <w:rsid w:val="00DE634A"/>
    <w:rsid w:val="00DE7123"/>
    <w:rsid w:val="00DF042F"/>
    <w:rsid w:val="00E0072C"/>
    <w:rsid w:val="00E01437"/>
    <w:rsid w:val="00E10E3D"/>
    <w:rsid w:val="00E11A9C"/>
    <w:rsid w:val="00E14A7A"/>
    <w:rsid w:val="00E17573"/>
    <w:rsid w:val="00E21290"/>
    <w:rsid w:val="00E274CC"/>
    <w:rsid w:val="00E279E9"/>
    <w:rsid w:val="00E27EAD"/>
    <w:rsid w:val="00E42136"/>
    <w:rsid w:val="00E46C3C"/>
    <w:rsid w:val="00E46E2E"/>
    <w:rsid w:val="00E51223"/>
    <w:rsid w:val="00E5438E"/>
    <w:rsid w:val="00E6630F"/>
    <w:rsid w:val="00E736F0"/>
    <w:rsid w:val="00E73940"/>
    <w:rsid w:val="00E9367C"/>
    <w:rsid w:val="00EB15D8"/>
    <w:rsid w:val="00EB363C"/>
    <w:rsid w:val="00EB5B45"/>
    <w:rsid w:val="00EB5CD1"/>
    <w:rsid w:val="00ED3611"/>
    <w:rsid w:val="00ED6769"/>
    <w:rsid w:val="00EE0715"/>
    <w:rsid w:val="00EF1F39"/>
    <w:rsid w:val="00EF5F0F"/>
    <w:rsid w:val="00F03966"/>
    <w:rsid w:val="00F1689C"/>
    <w:rsid w:val="00F220E9"/>
    <w:rsid w:val="00F532CA"/>
    <w:rsid w:val="00F53DD0"/>
    <w:rsid w:val="00F67F38"/>
    <w:rsid w:val="00F82BB8"/>
    <w:rsid w:val="00F839C2"/>
    <w:rsid w:val="00F935D9"/>
    <w:rsid w:val="00FA525B"/>
    <w:rsid w:val="00FB1817"/>
    <w:rsid w:val="00FC6314"/>
    <w:rsid w:val="00FD0E34"/>
    <w:rsid w:val="00FD7843"/>
    <w:rsid w:val="00FE2645"/>
    <w:rsid w:val="00FE2D35"/>
    <w:rsid w:val="00FE490B"/>
    <w:rsid w:val="00FF17E3"/>
    <w:rsid w:val="01547D81"/>
    <w:rsid w:val="01C5046E"/>
    <w:rsid w:val="030B2214"/>
    <w:rsid w:val="033A72A6"/>
    <w:rsid w:val="038945C3"/>
    <w:rsid w:val="0448570C"/>
    <w:rsid w:val="04AC2FDC"/>
    <w:rsid w:val="05441A53"/>
    <w:rsid w:val="060E2764"/>
    <w:rsid w:val="068D7189"/>
    <w:rsid w:val="06DB72AB"/>
    <w:rsid w:val="075F277E"/>
    <w:rsid w:val="084F7808"/>
    <w:rsid w:val="08533772"/>
    <w:rsid w:val="087B6156"/>
    <w:rsid w:val="096B4A7E"/>
    <w:rsid w:val="098B6330"/>
    <w:rsid w:val="09D179CF"/>
    <w:rsid w:val="0A6040F9"/>
    <w:rsid w:val="0A7900F2"/>
    <w:rsid w:val="0AD16ED4"/>
    <w:rsid w:val="0BE45282"/>
    <w:rsid w:val="0C0B2CF9"/>
    <w:rsid w:val="0C515AF1"/>
    <w:rsid w:val="0CD04840"/>
    <w:rsid w:val="0D207A84"/>
    <w:rsid w:val="0D412E43"/>
    <w:rsid w:val="0ECD33EE"/>
    <w:rsid w:val="0EE11777"/>
    <w:rsid w:val="0FCB01D0"/>
    <w:rsid w:val="10D40227"/>
    <w:rsid w:val="11827089"/>
    <w:rsid w:val="11A12E27"/>
    <w:rsid w:val="129D71CF"/>
    <w:rsid w:val="139078ED"/>
    <w:rsid w:val="13970221"/>
    <w:rsid w:val="13995A3C"/>
    <w:rsid w:val="15086EEE"/>
    <w:rsid w:val="15434B35"/>
    <w:rsid w:val="166A1503"/>
    <w:rsid w:val="16E15DCB"/>
    <w:rsid w:val="172B1A9A"/>
    <w:rsid w:val="176C74D2"/>
    <w:rsid w:val="17BC0328"/>
    <w:rsid w:val="17F033F8"/>
    <w:rsid w:val="182B5319"/>
    <w:rsid w:val="182E6F65"/>
    <w:rsid w:val="19152927"/>
    <w:rsid w:val="192C5739"/>
    <w:rsid w:val="199A1E02"/>
    <w:rsid w:val="1A324BB1"/>
    <w:rsid w:val="1A36453D"/>
    <w:rsid w:val="1A5A4E3C"/>
    <w:rsid w:val="1AFE4CDA"/>
    <w:rsid w:val="1BCD359D"/>
    <w:rsid w:val="1BFE02B9"/>
    <w:rsid w:val="1C861A87"/>
    <w:rsid w:val="1D8E3F1F"/>
    <w:rsid w:val="1EAB0BC0"/>
    <w:rsid w:val="1ED706F8"/>
    <w:rsid w:val="1EFD3A50"/>
    <w:rsid w:val="1F1D352F"/>
    <w:rsid w:val="1F9F225E"/>
    <w:rsid w:val="1FD74CD7"/>
    <w:rsid w:val="1FDC5258"/>
    <w:rsid w:val="1FF1409F"/>
    <w:rsid w:val="20407C92"/>
    <w:rsid w:val="20713E16"/>
    <w:rsid w:val="22AE2DC9"/>
    <w:rsid w:val="23CB3EBD"/>
    <w:rsid w:val="23D9237C"/>
    <w:rsid w:val="23E51663"/>
    <w:rsid w:val="24125038"/>
    <w:rsid w:val="24456310"/>
    <w:rsid w:val="2512769F"/>
    <w:rsid w:val="26E54CE1"/>
    <w:rsid w:val="27D9576A"/>
    <w:rsid w:val="27F7579A"/>
    <w:rsid w:val="28667946"/>
    <w:rsid w:val="298975AE"/>
    <w:rsid w:val="29936935"/>
    <w:rsid w:val="2A455D64"/>
    <w:rsid w:val="2C073842"/>
    <w:rsid w:val="2CD478CF"/>
    <w:rsid w:val="2D005DEE"/>
    <w:rsid w:val="2D3B43F4"/>
    <w:rsid w:val="2D827E49"/>
    <w:rsid w:val="2D9C3EC1"/>
    <w:rsid w:val="2DCC73A6"/>
    <w:rsid w:val="2E4010F5"/>
    <w:rsid w:val="2EF0190C"/>
    <w:rsid w:val="2FB10AD5"/>
    <w:rsid w:val="304A3C05"/>
    <w:rsid w:val="31AF67E3"/>
    <w:rsid w:val="32A35D87"/>
    <w:rsid w:val="32E70400"/>
    <w:rsid w:val="33467E33"/>
    <w:rsid w:val="33F656FA"/>
    <w:rsid w:val="35214841"/>
    <w:rsid w:val="3571267A"/>
    <w:rsid w:val="35F4770B"/>
    <w:rsid w:val="36277953"/>
    <w:rsid w:val="36B217F2"/>
    <w:rsid w:val="370841DD"/>
    <w:rsid w:val="383E4BAD"/>
    <w:rsid w:val="384E1705"/>
    <w:rsid w:val="3953120C"/>
    <w:rsid w:val="3BAB36B6"/>
    <w:rsid w:val="3BE22FFD"/>
    <w:rsid w:val="3C8B5607"/>
    <w:rsid w:val="3CEF42DD"/>
    <w:rsid w:val="3D7A6FEE"/>
    <w:rsid w:val="3E1006BB"/>
    <w:rsid w:val="3E9A48FA"/>
    <w:rsid w:val="3EC1378E"/>
    <w:rsid w:val="3F133B43"/>
    <w:rsid w:val="3F5A196D"/>
    <w:rsid w:val="40641B38"/>
    <w:rsid w:val="40F3535F"/>
    <w:rsid w:val="41DD3229"/>
    <w:rsid w:val="41EA7D2C"/>
    <w:rsid w:val="420A4B83"/>
    <w:rsid w:val="43A002AE"/>
    <w:rsid w:val="43D82A06"/>
    <w:rsid w:val="4485304D"/>
    <w:rsid w:val="44940C0B"/>
    <w:rsid w:val="44DF335C"/>
    <w:rsid w:val="45714D5A"/>
    <w:rsid w:val="457F2244"/>
    <w:rsid w:val="45A73AC3"/>
    <w:rsid w:val="4700433B"/>
    <w:rsid w:val="484D1049"/>
    <w:rsid w:val="48901D3C"/>
    <w:rsid w:val="489502C1"/>
    <w:rsid w:val="4919001F"/>
    <w:rsid w:val="499C2FE7"/>
    <w:rsid w:val="4ADD4C88"/>
    <w:rsid w:val="4AFB652C"/>
    <w:rsid w:val="4B033B2C"/>
    <w:rsid w:val="4B4542A0"/>
    <w:rsid w:val="4BAD5653"/>
    <w:rsid w:val="4C29076B"/>
    <w:rsid w:val="4C8A6FB7"/>
    <w:rsid w:val="4CCD64DA"/>
    <w:rsid w:val="4D613524"/>
    <w:rsid w:val="4FE03E07"/>
    <w:rsid w:val="505112ED"/>
    <w:rsid w:val="50C7522F"/>
    <w:rsid w:val="51752864"/>
    <w:rsid w:val="51CF0F5A"/>
    <w:rsid w:val="51D321D9"/>
    <w:rsid w:val="5259547B"/>
    <w:rsid w:val="528D4A19"/>
    <w:rsid w:val="5310486A"/>
    <w:rsid w:val="5373293B"/>
    <w:rsid w:val="56CC20C5"/>
    <w:rsid w:val="571607E2"/>
    <w:rsid w:val="57832122"/>
    <w:rsid w:val="57CA1F90"/>
    <w:rsid w:val="57E072C7"/>
    <w:rsid w:val="59135E08"/>
    <w:rsid w:val="594A2935"/>
    <w:rsid w:val="59837256"/>
    <w:rsid w:val="5A511867"/>
    <w:rsid w:val="5B251672"/>
    <w:rsid w:val="5BD016B0"/>
    <w:rsid w:val="5BD252B2"/>
    <w:rsid w:val="5BFB2A8E"/>
    <w:rsid w:val="5CEE1A7C"/>
    <w:rsid w:val="5D140325"/>
    <w:rsid w:val="5D424D2E"/>
    <w:rsid w:val="5D6C33B4"/>
    <w:rsid w:val="5D6C3C5E"/>
    <w:rsid w:val="5D973675"/>
    <w:rsid w:val="5E3E349A"/>
    <w:rsid w:val="5E7B3B86"/>
    <w:rsid w:val="5E813AA9"/>
    <w:rsid w:val="5EA76F3B"/>
    <w:rsid w:val="5F587953"/>
    <w:rsid w:val="5F802FAE"/>
    <w:rsid w:val="607C6247"/>
    <w:rsid w:val="60920A85"/>
    <w:rsid w:val="60E21B38"/>
    <w:rsid w:val="61086BED"/>
    <w:rsid w:val="613E10E9"/>
    <w:rsid w:val="615333B9"/>
    <w:rsid w:val="616B2BA5"/>
    <w:rsid w:val="61796070"/>
    <w:rsid w:val="61A96338"/>
    <w:rsid w:val="62D03089"/>
    <w:rsid w:val="63234A71"/>
    <w:rsid w:val="638A7F65"/>
    <w:rsid w:val="63C26122"/>
    <w:rsid w:val="63DA59D2"/>
    <w:rsid w:val="64F5049D"/>
    <w:rsid w:val="65622536"/>
    <w:rsid w:val="65A56BE1"/>
    <w:rsid w:val="663F1B9E"/>
    <w:rsid w:val="6678254E"/>
    <w:rsid w:val="66B62D92"/>
    <w:rsid w:val="670C1767"/>
    <w:rsid w:val="670E024B"/>
    <w:rsid w:val="675057EA"/>
    <w:rsid w:val="67626ACC"/>
    <w:rsid w:val="67A069A1"/>
    <w:rsid w:val="68A975EB"/>
    <w:rsid w:val="68E42A91"/>
    <w:rsid w:val="68F2406C"/>
    <w:rsid w:val="69312BF7"/>
    <w:rsid w:val="69746DA4"/>
    <w:rsid w:val="6A55464D"/>
    <w:rsid w:val="6ADD2B8B"/>
    <w:rsid w:val="6B293F6B"/>
    <w:rsid w:val="6B5D273B"/>
    <w:rsid w:val="6B6E4AD6"/>
    <w:rsid w:val="6BEA4A77"/>
    <w:rsid w:val="6C50564E"/>
    <w:rsid w:val="6D567111"/>
    <w:rsid w:val="6D804079"/>
    <w:rsid w:val="6DBB425D"/>
    <w:rsid w:val="6E526DF0"/>
    <w:rsid w:val="6E9E10C1"/>
    <w:rsid w:val="6F02559D"/>
    <w:rsid w:val="6F88050D"/>
    <w:rsid w:val="6F902187"/>
    <w:rsid w:val="707A38A3"/>
    <w:rsid w:val="71EA009E"/>
    <w:rsid w:val="72431297"/>
    <w:rsid w:val="7270213E"/>
    <w:rsid w:val="735B2948"/>
    <w:rsid w:val="735E6994"/>
    <w:rsid w:val="73FF5564"/>
    <w:rsid w:val="744B3282"/>
    <w:rsid w:val="746A09C8"/>
    <w:rsid w:val="74785470"/>
    <w:rsid w:val="74BB4BAA"/>
    <w:rsid w:val="75C63F75"/>
    <w:rsid w:val="76E33794"/>
    <w:rsid w:val="77251F68"/>
    <w:rsid w:val="77573D20"/>
    <w:rsid w:val="780C39A1"/>
    <w:rsid w:val="782930C5"/>
    <w:rsid w:val="784A1881"/>
    <w:rsid w:val="785002A5"/>
    <w:rsid w:val="7878044C"/>
    <w:rsid w:val="7884637C"/>
    <w:rsid w:val="788A33FD"/>
    <w:rsid w:val="788D75F9"/>
    <w:rsid w:val="788E3934"/>
    <w:rsid w:val="78962B9C"/>
    <w:rsid w:val="790532AB"/>
    <w:rsid w:val="7A387563"/>
    <w:rsid w:val="7A8A0FE4"/>
    <w:rsid w:val="7B532F87"/>
    <w:rsid w:val="7B851201"/>
    <w:rsid w:val="7B8E1E6A"/>
    <w:rsid w:val="7BAB50AF"/>
    <w:rsid w:val="7D23704F"/>
    <w:rsid w:val="7D3E4542"/>
    <w:rsid w:val="7DA42AF6"/>
    <w:rsid w:val="7DDC3F95"/>
    <w:rsid w:val="7E941C0C"/>
    <w:rsid w:val="7E9E490C"/>
    <w:rsid w:val="7ED40D20"/>
    <w:rsid w:val="7EF26D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iPriority="0" w:semiHidden="0" w:name="HTML Code"/>
    <w:lsdException w:qFormat="1" w:uiPriority="0" w:semiHidden="0" w:name="HTML Definition"/>
    <w:lsdException w:qFormat="1" w:uiPriority="0" w:semiHidden="0" w:name="HTML Keyboard"/>
    <w:lsdException w:qFormat="1" w:unhideWhenUsed="0" w:uiPriority="0" w:semiHidden="0" w:name="HTML Preformatted"/>
    <w:lsdException w:qFormat="1" w:uiPriority="0" w:semiHidden="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napToGrid w:val="0"/>
      <w:jc w:val="center"/>
      <w:outlineLvl w:val="0"/>
    </w:pPr>
    <w:rPr>
      <w:rFonts w:eastAsia="方正小标宋简体"/>
      <w:bCs/>
      <w:kern w:val="44"/>
      <w:sz w:val="44"/>
      <w:szCs w:val="4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annotation text"/>
    <w:basedOn w:val="1"/>
    <w:qFormat/>
    <w:uiPriority w:val="0"/>
    <w:pPr>
      <w:snapToGrid w:val="0"/>
      <w:spacing w:line="480" w:lineRule="exact"/>
      <w:ind w:firstLine="200" w:firstLineChars="200"/>
      <w:jc w:val="left"/>
    </w:pPr>
    <w:rPr>
      <w:rFonts w:ascii="Times New Roman" w:hAnsi="Times New Roman" w:eastAsia="仿宋"/>
      <w:sz w:val="28"/>
    </w:rPr>
  </w:style>
  <w:style w:type="paragraph" w:styleId="4">
    <w:name w:val="Balloon Text"/>
    <w:basedOn w:val="1"/>
    <w:link w:val="2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8">
    <w:name w:val="Normal (Web)"/>
    <w:basedOn w:val="1"/>
    <w:qFormat/>
    <w:uiPriority w:val="0"/>
    <w:pPr>
      <w:jc w:val="left"/>
    </w:pPr>
    <w:rPr>
      <w:kern w:val="0"/>
      <w:sz w:val="24"/>
    </w:rPr>
  </w:style>
  <w:style w:type="character" w:styleId="11">
    <w:name w:val="Strong"/>
    <w:qFormat/>
    <w:uiPriority w:val="0"/>
    <w:rPr>
      <w:b/>
      <w:bCs/>
    </w:rPr>
  </w:style>
  <w:style w:type="character" w:styleId="12">
    <w:name w:val="FollowedHyperlink"/>
    <w:basedOn w:val="10"/>
    <w:unhideWhenUsed/>
    <w:qFormat/>
    <w:uiPriority w:val="0"/>
    <w:rPr>
      <w:color w:val="0275D8"/>
      <w:u w:val="none"/>
    </w:rPr>
  </w:style>
  <w:style w:type="character" w:styleId="13">
    <w:name w:val="HTML Definition"/>
    <w:basedOn w:val="10"/>
    <w:unhideWhenUsed/>
    <w:qFormat/>
    <w:uiPriority w:val="0"/>
    <w:rPr>
      <w:i/>
    </w:rPr>
  </w:style>
  <w:style w:type="character" w:styleId="14">
    <w:name w:val="Hyperlink"/>
    <w:basedOn w:val="10"/>
    <w:unhideWhenUsed/>
    <w:qFormat/>
    <w:uiPriority w:val="0"/>
    <w:rPr>
      <w:color w:val="0275D8"/>
      <w:u w:val="none"/>
    </w:rPr>
  </w:style>
  <w:style w:type="character" w:styleId="15">
    <w:name w:val="HTML Code"/>
    <w:basedOn w:val="10"/>
    <w:unhideWhenUsed/>
    <w:qFormat/>
    <w:uiPriority w:val="0"/>
    <w:rPr>
      <w:rFonts w:hint="default" w:ascii="Consolas" w:hAnsi="Consolas" w:eastAsia="Consolas" w:cs="Consolas"/>
      <w:color w:val="BD4147"/>
      <w:sz w:val="21"/>
      <w:szCs w:val="21"/>
      <w:shd w:val="clear" w:color="auto" w:fill="F7F7F9"/>
    </w:rPr>
  </w:style>
  <w:style w:type="character" w:styleId="16">
    <w:name w:val="HTML Keyboard"/>
    <w:basedOn w:val="10"/>
    <w:unhideWhenUsed/>
    <w:qFormat/>
    <w:uiPriority w:val="0"/>
    <w:rPr>
      <w:rFonts w:hint="default" w:ascii="Consolas" w:hAnsi="Consolas" w:eastAsia="Consolas" w:cs="Consolas"/>
      <w:color w:val="FFFFFF"/>
      <w:sz w:val="21"/>
      <w:szCs w:val="21"/>
      <w:shd w:val="clear" w:color="auto" w:fill="333333"/>
    </w:rPr>
  </w:style>
  <w:style w:type="character" w:styleId="17">
    <w:name w:val="HTML Sample"/>
    <w:basedOn w:val="10"/>
    <w:unhideWhenUsed/>
    <w:qFormat/>
    <w:uiPriority w:val="0"/>
    <w:rPr>
      <w:rFonts w:ascii="Consolas" w:hAnsi="Consolas" w:eastAsia="Consolas" w:cs="Consolas"/>
      <w:sz w:val="21"/>
      <w:szCs w:val="21"/>
    </w:rPr>
  </w:style>
  <w:style w:type="paragraph" w:customStyle="1" w:styleId="18">
    <w:name w:val="列出段落1"/>
    <w:basedOn w:val="1"/>
    <w:qFormat/>
    <w:uiPriority w:val="34"/>
    <w:pPr>
      <w:ind w:firstLine="420" w:firstLineChars="200"/>
    </w:pPr>
  </w:style>
  <w:style w:type="character" w:customStyle="1" w:styleId="19">
    <w:name w:val="NormalCharacter"/>
    <w:qFormat/>
    <w:uiPriority w:val="0"/>
    <w:rPr>
      <w:rFonts w:hint="eastAsia" w:ascii="Calibri" w:hAnsi="Calibri" w:eastAsia="宋体" w:cs="Times New Roman"/>
      <w:kern w:val="2"/>
      <w:sz w:val="24"/>
      <w:lang w:val="en-US" w:eastAsia="zh-CN"/>
    </w:rPr>
  </w:style>
  <w:style w:type="character" w:customStyle="1" w:styleId="20">
    <w:name w:val="fontstyle01"/>
    <w:basedOn w:val="10"/>
    <w:qFormat/>
    <w:uiPriority w:val="0"/>
    <w:rPr>
      <w:rFonts w:ascii="仿宋_GB2312" w:hAnsi="仿宋_GB2312" w:eastAsia="仿宋_GB2312" w:cs="仿宋_GB2312"/>
      <w:color w:val="000000"/>
      <w:sz w:val="32"/>
      <w:szCs w:val="32"/>
    </w:rPr>
  </w:style>
  <w:style w:type="character" w:customStyle="1" w:styleId="21">
    <w:name w:val="fontstyle21"/>
    <w:basedOn w:val="10"/>
    <w:qFormat/>
    <w:uiPriority w:val="0"/>
    <w:rPr>
      <w:rFonts w:ascii="TimesNewRomanPSMT" w:hAnsi="TimesNewRomanPSMT" w:eastAsia="TimesNewRomanPSMT" w:cs="TimesNewRomanPSMT"/>
      <w:color w:val="000000"/>
      <w:sz w:val="32"/>
      <w:szCs w:val="32"/>
    </w:rPr>
  </w:style>
  <w:style w:type="paragraph" w:customStyle="1" w:styleId="22">
    <w:name w:val="列出段落2"/>
    <w:basedOn w:val="1"/>
    <w:qFormat/>
    <w:uiPriority w:val="99"/>
    <w:pPr>
      <w:ind w:firstLine="420" w:firstLineChars="200"/>
    </w:pPr>
  </w:style>
  <w:style w:type="character" w:customStyle="1" w:styleId="23">
    <w:name w:val="批注框文本 Char"/>
    <w:basedOn w:val="10"/>
    <w:link w:val="4"/>
    <w:qFormat/>
    <w:uiPriority w:val="0"/>
    <w:rPr>
      <w:rFonts w:ascii="Calibri" w:hAnsi="Calibri" w:eastAsia="宋体" w:cs="Times New Roman"/>
      <w:kern w:val="2"/>
      <w:sz w:val="18"/>
      <w:szCs w:val="18"/>
    </w:rPr>
  </w:style>
  <w:style w:type="character" w:customStyle="1" w:styleId="24">
    <w:name w:val="fullscreen"/>
    <w:basedOn w:val="10"/>
    <w:qFormat/>
    <w:uiPriority w:val="0"/>
    <w:rPr>
      <w:color w:val="2FA4DA"/>
    </w:rPr>
  </w:style>
  <w:style w:type="character" w:customStyle="1" w:styleId="25">
    <w:name w:val="button"/>
    <w:basedOn w:val="10"/>
    <w:qFormat/>
    <w:uiPriority w:val="0"/>
  </w:style>
  <w:style w:type="character" w:customStyle="1" w:styleId="26">
    <w:name w:val="tmpztreemove_arrow"/>
    <w:basedOn w:val="10"/>
    <w:qFormat/>
    <w:uiPriority w:val="0"/>
  </w:style>
  <w:style w:type="paragraph" w:customStyle="1" w:styleId="27">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B86E44-BC9E-46B6-8052-89846C680B3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925</Words>
  <Characters>5277</Characters>
  <Lines>43</Lines>
  <Paragraphs>12</Paragraphs>
  <TotalTime>15</TotalTime>
  <ScaleCrop>false</ScaleCrop>
  <LinksUpToDate>false</LinksUpToDate>
  <CharactersWithSpaces>6190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2020-09-01T04:30:00Z</dcterms:created>
  <dc:creator>Admin</dc:creator>
  <cp:lastModifiedBy>秦小燕</cp:lastModifiedBy>
  <cp:lastPrinted>2020-09-07T09:22:00Z</cp:lastPrinted>
  <dcterms:modified xsi:type="dcterms:W3CDTF">2020-09-07T15:12:48Z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