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44"/>
        </w:rPr>
      </w:pPr>
      <w:r>
        <w:rPr>
          <w:rFonts w:hint="eastAsia" w:ascii="黑体" w:hAnsi="黑体" w:eastAsia="黑体" w:cs="黑体"/>
          <w:kern w:val="0"/>
          <w:sz w:val="32"/>
          <w:szCs w:val="44"/>
        </w:rPr>
        <w:t>附件1</w:t>
      </w:r>
    </w:p>
    <w:p>
      <w:pPr>
        <w:spacing w:line="560" w:lineRule="exact"/>
        <w:jc w:val="left"/>
        <w:rPr>
          <w:rFonts w:hint="eastAsia" w:ascii="仿宋" w:hAnsi="仿宋" w:eastAsia="仿宋"/>
          <w:kern w:val="0"/>
          <w:sz w:val="32"/>
          <w:szCs w:val="44"/>
        </w:rPr>
      </w:pPr>
    </w:p>
    <w:p>
      <w:pPr>
        <w:spacing w:line="560" w:lineRule="exact"/>
        <w:jc w:val="center"/>
        <w:rPr>
          <w:rFonts w:hint="eastAsia"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</w:rPr>
        <w:t>应收账款融资奖励工作指引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一、奖励范围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支持供应链核心企业帮助中小企业供货商进行应收账款融资，解决中小企业融资难问题。对人民银行征信中心应收账款融资服务平台为通过在线确认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帮助中小企业实现应收账款融资的核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心企业，按融资金额给予奖励。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黑体"/>
          <w:color w:val="auto"/>
          <w:sz w:val="32"/>
          <w:szCs w:val="32"/>
        </w:rPr>
      </w:pPr>
      <w:r>
        <w:rPr>
          <w:rFonts w:hint="eastAsia" w:ascii="仿宋" w:hAnsi="仿宋" w:eastAsia="仿宋" w:cs="黑体"/>
          <w:color w:val="auto"/>
          <w:sz w:val="32"/>
          <w:szCs w:val="32"/>
        </w:rPr>
        <w:t>二、奖励主体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供应链核心企业。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黑体"/>
          <w:color w:val="auto"/>
          <w:sz w:val="32"/>
          <w:szCs w:val="32"/>
        </w:rPr>
      </w:pPr>
      <w:r>
        <w:rPr>
          <w:rFonts w:hint="eastAsia" w:ascii="仿宋" w:hAnsi="仿宋" w:eastAsia="仿宋" w:cs="黑体"/>
          <w:color w:val="auto"/>
          <w:sz w:val="32"/>
          <w:szCs w:val="32"/>
        </w:rPr>
        <w:t>三、奖励条件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（一）</w:t>
      </w:r>
      <w:r>
        <w:rPr>
          <w:rFonts w:hint="eastAsia" w:ascii="仿宋" w:hAnsi="仿宋" w:eastAsia="仿宋"/>
          <w:color w:val="auto"/>
          <w:sz w:val="32"/>
          <w:szCs w:val="32"/>
        </w:rPr>
        <w:t>201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2"/>
          <w:szCs w:val="32"/>
        </w:rPr>
        <w:t>年1月1日前在中山市境内依法设立,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具有独立企业法人资格。</w:t>
      </w:r>
    </w:p>
    <w:p>
      <w:pPr>
        <w:spacing w:line="560" w:lineRule="exact"/>
        <w:ind w:firstLine="64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（二）201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</w:rPr>
        <w:t>年1月1日至201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</w:rPr>
        <w:t>年12月31日期间通过人民银行征信中心应收账款融资服务平台在线确认，帮助广东省中小企业实现应收账款融资</w:t>
      </w:r>
      <w:r>
        <w:rPr>
          <w:rFonts w:ascii="仿宋" w:hAnsi="仿宋" w:eastAsia="仿宋"/>
          <w:color w:val="auto"/>
          <w:sz w:val="32"/>
          <w:szCs w:val="32"/>
        </w:rPr>
        <w:t>。</w:t>
      </w:r>
    </w:p>
    <w:p>
      <w:pPr>
        <w:spacing w:line="560" w:lineRule="exact"/>
        <w:ind w:firstLine="640"/>
        <w:rPr>
          <w:rFonts w:hint="eastAsia" w:ascii="仿宋" w:hAnsi="仿宋" w:eastAsia="仿宋" w:cs="黑体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经向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人民银行中山市中心支行核实，我市共有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家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供应链核心企业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，在</w:t>
      </w:r>
      <w:r>
        <w:rPr>
          <w:rFonts w:hint="eastAsia" w:ascii="仿宋" w:hAnsi="仿宋" w:eastAsia="仿宋"/>
          <w:color w:val="auto"/>
          <w:sz w:val="32"/>
          <w:szCs w:val="32"/>
        </w:rPr>
        <w:t>201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</w:rPr>
        <w:t>年1月1日至201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</w:rPr>
        <w:t>年12月31日期间通过人民银行征信中心应收账款融资服务平台在线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</w:rPr>
        <w:t>确认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帮助广东省中小企业实现应收账款融资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。分别为：广东壹加壹商业连锁有限公司、中山公用燃气有限公司、中山市宝芮照明科技有限公司、中山市玖居世家家具有限公司。（</w:t>
      </w:r>
      <w:r>
        <w:rPr>
          <w:rFonts w:hint="eastAsia" w:ascii="仿宋" w:hAnsi="仿宋" w:eastAsia="仿宋" w:cs="黑体"/>
          <w:color w:val="auto"/>
          <w:sz w:val="32"/>
          <w:szCs w:val="32"/>
          <w:lang w:eastAsia="zh-CN"/>
        </w:rPr>
        <w:t>关于应收账款融资相关事宜，如有疑问，可咨询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人民银行中山市中心支行。）</w:t>
      </w:r>
    </w:p>
    <w:p>
      <w:pPr>
        <w:spacing w:line="560" w:lineRule="exact"/>
        <w:ind w:firstLine="640"/>
        <w:rPr>
          <w:rFonts w:hint="eastAsia" w:ascii="仿宋" w:hAnsi="仿宋" w:eastAsia="仿宋" w:cs="黑体"/>
          <w:color w:val="auto"/>
          <w:sz w:val="32"/>
          <w:szCs w:val="32"/>
        </w:rPr>
      </w:pPr>
      <w:r>
        <w:rPr>
          <w:rFonts w:hint="eastAsia" w:ascii="仿宋" w:hAnsi="仿宋" w:eastAsia="仿宋" w:cs="黑体"/>
          <w:color w:val="auto"/>
          <w:sz w:val="32"/>
          <w:szCs w:val="32"/>
        </w:rPr>
        <w:t>四、奖励标准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按不超过</w:t>
      </w:r>
      <w:r>
        <w:rPr>
          <w:rFonts w:hint="eastAsia" w:ascii="仿宋" w:hAnsi="仿宋" w:eastAsia="仿宋"/>
          <w:color w:val="auto"/>
          <w:sz w:val="32"/>
          <w:szCs w:val="32"/>
        </w:rPr>
        <w:t>帮助广东省中小企业实现应收账款融资年化金额的1</w:t>
      </w:r>
      <w:r>
        <w:rPr>
          <w:rFonts w:ascii="仿宋" w:hAnsi="仿宋" w:eastAsia="仿宋" w:cs="仿宋_GB2312"/>
          <w:color w:val="auto"/>
          <w:sz w:val="32"/>
          <w:szCs w:val="32"/>
        </w:rPr>
        <w:t>%给予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奖励。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黑体"/>
          <w:color w:val="auto"/>
          <w:sz w:val="32"/>
          <w:szCs w:val="32"/>
        </w:rPr>
      </w:pPr>
      <w:r>
        <w:rPr>
          <w:rFonts w:hint="eastAsia" w:ascii="仿宋" w:hAnsi="仿宋" w:eastAsia="仿宋" w:cs="黑体"/>
          <w:color w:val="auto"/>
          <w:sz w:val="32"/>
          <w:szCs w:val="32"/>
        </w:rPr>
        <w:t>五、申报材料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（一）核心企业营业执照复印件。</w:t>
      </w:r>
    </w:p>
    <w:p>
      <w:pPr>
        <w:autoSpaceDE w:val="0"/>
        <w:ind w:firstLine="640" w:firstLineChars="200"/>
        <w:jc w:val="left"/>
      </w:pPr>
      <w:r>
        <w:rPr>
          <w:rFonts w:hint="eastAsia" w:ascii="仿宋" w:hAnsi="仿宋" w:eastAsia="仿宋"/>
          <w:color w:val="auto"/>
          <w:sz w:val="32"/>
          <w:szCs w:val="32"/>
        </w:rPr>
        <w:t>（二）</w:t>
      </w:r>
      <w:r>
        <w:rPr>
          <w:rFonts w:ascii="仿宋" w:hAnsi="仿宋" w:eastAsia="仿宋" w:cs="方正小标宋简体"/>
          <w:color w:val="auto"/>
          <w:sz w:val="32"/>
          <w:szCs w:val="32"/>
        </w:rPr>
        <w:t>应收账款融资奖励</w:t>
      </w:r>
      <w:r>
        <w:rPr>
          <w:rFonts w:hint="eastAsia" w:ascii="仿宋" w:hAnsi="仿宋" w:eastAsia="仿宋" w:cs="方正小标宋简体"/>
          <w:color w:val="auto"/>
          <w:sz w:val="32"/>
          <w:szCs w:val="32"/>
        </w:rPr>
        <w:t>项目</w:t>
      </w:r>
      <w:r>
        <w:rPr>
          <w:rFonts w:hint="eastAsia" w:ascii="仿宋" w:hAnsi="仿宋" w:eastAsia="仿宋" w:cs="方正小标宋简体"/>
          <w:color w:val="auto"/>
          <w:sz w:val="32"/>
          <w:szCs w:val="32"/>
          <w:lang w:eastAsia="zh-CN"/>
        </w:rPr>
        <w:t>入库申请</w:t>
      </w:r>
      <w:r>
        <w:rPr>
          <w:rFonts w:hint="eastAsia" w:ascii="仿宋" w:hAnsi="仿宋" w:eastAsia="仿宋" w:cs="方正小标宋简体"/>
          <w:color w:val="auto"/>
          <w:sz w:val="32"/>
          <w:szCs w:val="32"/>
        </w:rPr>
        <w:t>表（附件</w:t>
      </w:r>
      <w:r>
        <w:rPr>
          <w:rFonts w:hint="eastAsia" w:ascii="仿宋" w:hAnsi="仿宋" w:eastAsia="仿宋" w:cs="方正小标宋简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方正小标宋简体"/>
          <w:color w:val="auto"/>
          <w:sz w:val="32"/>
          <w:szCs w:val="32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B3FE2"/>
    <w:rsid w:val="29830C8A"/>
    <w:rsid w:val="2EAE04FC"/>
    <w:rsid w:val="3758059C"/>
    <w:rsid w:val="49065AFF"/>
    <w:rsid w:val="57D4599B"/>
    <w:rsid w:val="78E514BE"/>
    <w:rsid w:val="79AC09B3"/>
    <w:rsid w:val="7D887E23"/>
    <w:rsid w:val="7E08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王璐璐</cp:lastModifiedBy>
  <dcterms:modified xsi:type="dcterms:W3CDTF">2020-06-04T08:05:29Z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