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3E" w:rsidRDefault="0067103E" w:rsidP="0067103E">
      <w:pPr>
        <w:spacing w:line="574" w:lineRule="exact"/>
        <w:rPr>
          <w:rFonts w:ascii="黑体" w:eastAsia="黑体" w:hAnsi="黑体"/>
          <w:bCs/>
          <w:color w:val="auto"/>
        </w:rPr>
      </w:pPr>
      <w:r>
        <w:rPr>
          <w:rFonts w:ascii="黑体" w:eastAsia="黑体" w:hAnsi="黑体" w:hint="eastAsia"/>
          <w:bCs/>
          <w:color w:val="auto"/>
        </w:rPr>
        <w:t>附件</w:t>
      </w:r>
    </w:p>
    <w:p w:rsidR="0067103E" w:rsidRDefault="0067103E" w:rsidP="0067103E">
      <w:pPr>
        <w:spacing w:line="574" w:lineRule="exact"/>
        <w:rPr>
          <w:rFonts w:ascii="方正小标宋简体" w:eastAsia="方正小标宋简体" w:hAnsi="Calibri"/>
          <w:bCs/>
          <w:color w:val="auto"/>
          <w:sz w:val="36"/>
          <w:szCs w:val="36"/>
        </w:rPr>
      </w:pPr>
    </w:p>
    <w:p w:rsidR="0067103E" w:rsidRDefault="0067103E" w:rsidP="0067103E">
      <w:pPr>
        <w:spacing w:line="574" w:lineRule="exact"/>
        <w:jc w:val="center"/>
        <w:rPr>
          <w:rFonts w:ascii="方正小标宋简体" w:eastAsia="方正小标宋简体" w:hAnsi="Calibri"/>
          <w:bCs/>
          <w:color w:val="auto"/>
          <w:sz w:val="44"/>
          <w:szCs w:val="44"/>
        </w:rPr>
      </w:pPr>
      <w:bookmarkStart w:id="0" w:name="_GoBack"/>
      <w:r>
        <w:rPr>
          <w:rFonts w:ascii="方正小标宋简体" w:eastAsia="方正小标宋简体" w:hAnsi="Calibri"/>
          <w:bCs/>
          <w:color w:val="auto"/>
          <w:sz w:val="44"/>
          <w:szCs w:val="44"/>
        </w:rPr>
        <w:t>2018年中山市商务发展专项资金（电子商务项目）</w:t>
      </w:r>
      <w:r>
        <w:rPr>
          <w:rFonts w:ascii="方正小标宋简体" w:eastAsia="方正小标宋简体" w:hAnsi="Calibri" w:hint="eastAsia"/>
          <w:bCs/>
          <w:color w:val="auto"/>
          <w:sz w:val="44"/>
          <w:szCs w:val="44"/>
        </w:rPr>
        <w:t>补助结果</w:t>
      </w:r>
      <w:bookmarkEnd w:id="0"/>
    </w:p>
    <w:p w:rsidR="0067103E" w:rsidRDefault="0067103E" w:rsidP="0067103E">
      <w:pPr>
        <w:spacing w:line="574" w:lineRule="exact"/>
        <w:jc w:val="center"/>
        <w:rPr>
          <w:rFonts w:ascii="方正小标宋简体" w:eastAsia="方正小标宋简体" w:hAnsi="Calibri"/>
          <w:bCs/>
          <w:color w:val="auto"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127"/>
        <w:gridCol w:w="1559"/>
      </w:tblGrid>
      <w:tr w:rsidR="0067103E" w:rsidTr="00451A3F">
        <w:trPr>
          <w:tblHeader/>
          <w:jc w:val="center"/>
        </w:trPr>
        <w:tc>
          <w:tcPr>
            <w:tcW w:w="562" w:type="dxa"/>
            <w:vAlign w:val="center"/>
          </w:tcPr>
          <w:p w:rsidR="0067103E" w:rsidRDefault="0067103E" w:rsidP="00451A3F">
            <w:pPr>
              <w:spacing w:line="574" w:lineRule="exact"/>
              <w:jc w:val="center"/>
              <w:rPr>
                <w:rFonts w:ascii="黑体" w:eastAsia="黑体" w:hAnsi="黑体"/>
                <w:color w:val="auto"/>
              </w:rPr>
            </w:pPr>
            <w:r>
              <w:rPr>
                <w:rFonts w:ascii="黑体" w:eastAsia="黑体" w:hAnsi="黑体" w:hint="eastAsia"/>
                <w:color w:val="auto"/>
              </w:rPr>
              <w:t>序号</w:t>
            </w:r>
          </w:p>
        </w:tc>
        <w:tc>
          <w:tcPr>
            <w:tcW w:w="3969" w:type="dxa"/>
            <w:vAlign w:val="center"/>
          </w:tcPr>
          <w:p w:rsidR="0067103E" w:rsidRDefault="0067103E" w:rsidP="00451A3F">
            <w:pPr>
              <w:spacing w:line="574" w:lineRule="exact"/>
              <w:jc w:val="center"/>
              <w:rPr>
                <w:rFonts w:ascii="黑体" w:eastAsia="黑体" w:hAnsi="黑体"/>
                <w:color w:val="auto"/>
              </w:rPr>
            </w:pPr>
            <w:r>
              <w:rPr>
                <w:rFonts w:ascii="黑体" w:eastAsia="黑体" w:hAnsi="黑体" w:hint="eastAsia"/>
                <w:color w:val="auto"/>
              </w:rPr>
              <w:t>申报单位名称</w:t>
            </w:r>
          </w:p>
        </w:tc>
        <w:tc>
          <w:tcPr>
            <w:tcW w:w="2127" w:type="dxa"/>
            <w:vAlign w:val="center"/>
          </w:tcPr>
          <w:p w:rsidR="0067103E" w:rsidRDefault="0067103E" w:rsidP="00451A3F">
            <w:pPr>
              <w:spacing w:line="574" w:lineRule="exact"/>
              <w:jc w:val="center"/>
              <w:rPr>
                <w:rFonts w:ascii="黑体" w:eastAsia="黑体" w:hAnsi="黑体"/>
                <w:color w:val="auto"/>
              </w:rPr>
            </w:pPr>
            <w:r>
              <w:rPr>
                <w:rFonts w:ascii="黑体" w:eastAsia="黑体" w:hAnsi="黑体" w:hint="eastAsia"/>
                <w:color w:val="auto"/>
              </w:rPr>
              <w:t>类别</w:t>
            </w:r>
          </w:p>
        </w:tc>
        <w:tc>
          <w:tcPr>
            <w:tcW w:w="1559" w:type="dxa"/>
            <w:vAlign w:val="center"/>
          </w:tcPr>
          <w:p w:rsidR="0067103E" w:rsidRDefault="0067103E" w:rsidP="00451A3F">
            <w:pPr>
              <w:spacing w:line="400" w:lineRule="exact"/>
              <w:jc w:val="center"/>
              <w:rPr>
                <w:rFonts w:ascii="黑体" w:eastAsia="黑体" w:hAnsi="黑体"/>
                <w:color w:val="auto"/>
              </w:rPr>
            </w:pPr>
            <w:r>
              <w:rPr>
                <w:rFonts w:ascii="黑体" w:eastAsia="黑体" w:hAnsi="黑体" w:hint="eastAsia"/>
                <w:color w:val="auto"/>
              </w:rPr>
              <w:t>补助金额</w:t>
            </w:r>
          </w:p>
          <w:p w:rsidR="0067103E" w:rsidRDefault="0067103E" w:rsidP="00451A3F">
            <w:pPr>
              <w:spacing w:line="400" w:lineRule="exact"/>
              <w:jc w:val="center"/>
              <w:rPr>
                <w:rFonts w:ascii="黑体" w:eastAsia="黑体" w:hAnsi="黑体"/>
                <w:color w:val="auto"/>
              </w:rPr>
            </w:pPr>
            <w:r>
              <w:rPr>
                <w:rFonts w:ascii="黑体" w:eastAsia="黑体" w:hAnsi="黑体" w:hint="eastAsia"/>
                <w:color w:val="auto"/>
              </w:rPr>
              <w:t>（万元）</w:t>
            </w:r>
          </w:p>
        </w:tc>
      </w:tr>
      <w:tr w:rsidR="0067103E" w:rsidRPr="00D74B7C" w:rsidTr="00451A3F">
        <w:trPr>
          <w:trHeight w:val="449"/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中山市八号电子商务有限公司</w:t>
            </w:r>
          </w:p>
        </w:tc>
        <w:tc>
          <w:tcPr>
            <w:tcW w:w="2127" w:type="dxa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2017-2018省级电子商务示范企业</w:t>
            </w:r>
          </w:p>
        </w:tc>
        <w:tc>
          <w:tcPr>
            <w:tcW w:w="1559" w:type="dxa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20</w:t>
            </w:r>
          </w:p>
        </w:tc>
      </w:tr>
      <w:tr w:rsidR="0067103E" w:rsidRPr="00D74B7C" w:rsidTr="00451A3F">
        <w:trPr>
          <w:trHeight w:val="285"/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TCL空调器（中山）有限公司</w:t>
            </w:r>
          </w:p>
        </w:tc>
        <w:tc>
          <w:tcPr>
            <w:tcW w:w="2127" w:type="dxa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2017-2018省级电子商务示范企业</w:t>
            </w:r>
          </w:p>
        </w:tc>
        <w:tc>
          <w:tcPr>
            <w:tcW w:w="1559" w:type="dxa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20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广东奥马冰箱有限公司</w:t>
            </w:r>
          </w:p>
        </w:tc>
        <w:tc>
          <w:tcPr>
            <w:tcW w:w="2127" w:type="dxa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2017-2018省级电子商务示范企业</w:t>
            </w:r>
          </w:p>
        </w:tc>
        <w:tc>
          <w:tcPr>
            <w:tcW w:w="1559" w:type="dxa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20</w:t>
            </w:r>
          </w:p>
        </w:tc>
      </w:tr>
      <w:tr w:rsidR="0067103E" w:rsidRPr="00D74B7C" w:rsidTr="00451A3F">
        <w:trPr>
          <w:trHeight w:val="90"/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中山市易朗科技有限公司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市级电子商务综合服务示范平台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50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中山市网胜互联信息技术有限公司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市级电子商务综合服务示范平台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50</w:t>
            </w:r>
          </w:p>
        </w:tc>
      </w:tr>
      <w:tr w:rsidR="0067103E" w:rsidRPr="00D74B7C" w:rsidTr="00451A3F">
        <w:trPr>
          <w:trHeight w:val="1443"/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中山灯多看科技有限公司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市级电子商务综合服务示范平台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50</w:t>
            </w:r>
          </w:p>
        </w:tc>
      </w:tr>
      <w:tr w:rsidR="0067103E" w:rsidRPr="00D74B7C" w:rsidTr="00451A3F">
        <w:trPr>
          <w:trHeight w:val="1548"/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华帝股份有限公司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市级制造业应用电子商务示范企业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广东鹰唛食品有限公司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市级制造业应用电子商务示范企业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中山百得厨卫有限公司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市级制造业应用电子商务示范企业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中山市樱雪集团有限公司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市级制造业应用电子商务示范企业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</w:tr>
      <w:tr w:rsidR="0067103E" w:rsidRPr="00D74B7C" w:rsidTr="00451A3F">
        <w:trPr>
          <w:trHeight w:val="355"/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中山市太力家庭用品制造有限公司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市级制造业应用电子商务示范企业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</w:tr>
      <w:tr w:rsidR="0067103E" w:rsidRPr="00D74B7C" w:rsidTr="00451A3F">
        <w:trPr>
          <w:trHeight w:val="133"/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中山市美尼亚电器有限公司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市级制造业应用电子商务示范企业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中山市金正生活电器有限公司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市级制造业应用电子商务示范企业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</w:tr>
      <w:tr w:rsidR="0067103E" w:rsidRPr="00D74B7C" w:rsidTr="00451A3F">
        <w:trPr>
          <w:trHeight w:val="1526"/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中山市都彭丹顿服饰有限公司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市级制造业应用电子商务示范企业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广东美味鲜调味食品有限公司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市级农产品电子商务示范企业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20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咀香园健康食品（中山）有限公司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市级农产品电子商务示范企业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18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广东九州通医药有限公司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市级“互联网+商务流通”示范企业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中山市佳维商贸有限公司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市级“互联网+商务流通”示范企业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28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中山苏宁易购商贸有限公司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市级“互联网+商务流通”示范企业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27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广东安乐窝网络科技有限公司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市级“互联网+商务流通”示范企业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26</w:t>
            </w:r>
          </w:p>
        </w:tc>
      </w:tr>
      <w:tr w:rsidR="0067103E" w:rsidRPr="00D74B7C" w:rsidTr="00451A3F">
        <w:trPr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全通教育集团（广东）股份有限公司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市级“四新”电子商务示范企业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20</w:t>
            </w:r>
          </w:p>
        </w:tc>
      </w:tr>
      <w:tr w:rsidR="0067103E" w:rsidRPr="00D74B7C" w:rsidTr="00451A3F">
        <w:trPr>
          <w:trHeight w:val="413"/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中山市顺啸丰商贸有限公司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市级“四新”电子商务示范企业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18</w:t>
            </w:r>
          </w:p>
        </w:tc>
      </w:tr>
      <w:tr w:rsidR="0067103E" w:rsidRPr="00D74B7C" w:rsidTr="00451A3F">
        <w:trPr>
          <w:trHeight w:val="277"/>
          <w:jc w:val="center"/>
        </w:trPr>
        <w:tc>
          <w:tcPr>
            <w:tcW w:w="562" w:type="dxa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rFonts w:hAnsi="Calibri"/>
                <w:color w:val="auto"/>
                <w:sz w:val="28"/>
                <w:szCs w:val="28"/>
              </w:rPr>
            </w:pPr>
            <w:r w:rsidRPr="00D74B7C">
              <w:rPr>
                <w:rFonts w:hAnsi="Calibri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中山市八喜电脑网络有限公司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市级“四新”电子商务示范企业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03E" w:rsidRPr="00D74B7C" w:rsidRDefault="0067103E" w:rsidP="00451A3F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D74B7C">
              <w:rPr>
                <w:rFonts w:hint="eastAsia"/>
                <w:color w:val="000000"/>
                <w:sz w:val="28"/>
                <w:szCs w:val="28"/>
              </w:rPr>
              <w:t>17</w:t>
            </w:r>
          </w:p>
        </w:tc>
      </w:tr>
      <w:tr w:rsidR="0067103E" w:rsidTr="00451A3F">
        <w:trPr>
          <w:jc w:val="center"/>
        </w:trPr>
        <w:tc>
          <w:tcPr>
            <w:tcW w:w="6658" w:type="dxa"/>
            <w:gridSpan w:val="3"/>
            <w:vAlign w:val="center"/>
          </w:tcPr>
          <w:p w:rsidR="0067103E" w:rsidRPr="00D74B7C" w:rsidRDefault="0067103E" w:rsidP="00451A3F">
            <w:pPr>
              <w:spacing w:line="574" w:lineRule="exact"/>
              <w:jc w:val="center"/>
              <w:rPr>
                <w:rFonts w:ascii="黑体" w:eastAsia="黑体" w:hAnsi="黑体"/>
                <w:color w:val="auto"/>
              </w:rPr>
            </w:pPr>
            <w:r w:rsidRPr="00D74B7C">
              <w:rPr>
                <w:rFonts w:ascii="黑体" w:eastAsia="黑体" w:hAnsi="黑体" w:hint="eastAsia"/>
                <w:color w:val="auto"/>
              </w:rPr>
              <w:t>合计</w:t>
            </w:r>
          </w:p>
        </w:tc>
        <w:tc>
          <w:tcPr>
            <w:tcW w:w="1559" w:type="dxa"/>
            <w:vAlign w:val="center"/>
          </w:tcPr>
          <w:p w:rsidR="0067103E" w:rsidRPr="00D74B7C" w:rsidRDefault="0067103E" w:rsidP="00451A3F">
            <w:pPr>
              <w:spacing w:line="574" w:lineRule="exact"/>
              <w:jc w:val="center"/>
              <w:rPr>
                <w:rFonts w:ascii="黑体" w:eastAsia="黑体" w:hAnsi="黑体"/>
                <w:color w:val="auto"/>
              </w:rPr>
            </w:pPr>
            <w:r w:rsidRPr="00D74B7C">
              <w:rPr>
                <w:rFonts w:ascii="黑体" w:eastAsia="黑体" w:hAnsi="黑体" w:hint="eastAsia"/>
                <w:color w:val="auto"/>
              </w:rPr>
              <w:t>654</w:t>
            </w:r>
          </w:p>
        </w:tc>
      </w:tr>
    </w:tbl>
    <w:p w:rsidR="0067103E" w:rsidRDefault="0067103E" w:rsidP="0067103E">
      <w:pPr>
        <w:spacing w:line="574" w:lineRule="exact"/>
        <w:rPr>
          <w:color w:val="auto"/>
        </w:rPr>
      </w:pPr>
    </w:p>
    <w:p w:rsidR="00AD7C6E" w:rsidRPr="0067103E" w:rsidRDefault="00AD7C6E" w:rsidP="0067103E"/>
    <w:sectPr w:rsidR="00AD7C6E" w:rsidRPr="0067103E">
      <w:footerReference w:type="even" r:id="rId6"/>
      <w:footerReference w:type="first" r:id="rId7"/>
      <w:pgSz w:w="11906" w:h="16838"/>
      <w:pgMar w:top="2098" w:right="1587" w:bottom="2098" w:left="1587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738" w:rsidRDefault="00267738" w:rsidP="0067103E">
      <w:r>
        <w:separator/>
      </w:r>
    </w:p>
  </w:endnote>
  <w:endnote w:type="continuationSeparator" w:id="0">
    <w:p w:rsidR="00267738" w:rsidRDefault="00267738" w:rsidP="0067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A7" w:rsidRDefault="00267738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PAGE   \* MERGEFORMAT </w:instrText>
    </w:r>
    <w:r>
      <w:rPr>
        <w:rFonts w:hint="eastAsia"/>
        <w:sz w:val="28"/>
        <w:szCs w:val="28"/>
      </w:rPr>
      <w:fldChar w:fldCharType="separate"/>
    </w:r>
    <w:r w:rsidRPr="000E3FD2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2 -</w:t>
    </w:r>
    <w:r>
      <w:rPr>
        <w:rFonts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A7" w:rsidRDefault="00267738">
    <w:pPr>
      <w:pStyle w:val="a4"/>
      <w:jc w:val="right"/>
      <w:rPr>
        <w:sz w:val="28"/>
        <w:szCs w:val="28"/>
      </w:rPr>
    </w:pPr>
    <w:r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PAGE   \* MERGEFORMAT </w:instrText>
    </w:r>
    <w:r>
      <w:rPr>
        <w:rFonts w:hint="eastAsia"/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rFonts w:hint="eastAsia"/>
        <w:sz w:val="28"/>
        <w:szCs w:val="28"/>
      </w:rPr>
      <w:fldChar w:fldCharType="end"/>
    </w:r>
  </w:p>
  <w:p w:rsidR="00601CA7" w:rsidRDefault="002677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738" w:rsidRDefault="00267738" w:rsidP="0067103E">
      <w:r>
        <w:separator/>
      </w:r>
    </w:p>
  </w:footnote>
  <w:footnote w:type="continuationSeparator" w:id="0">
    <w:p w:rsidR="00267738" w:rsidRDefault="00267738" w:rsidP="00671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F2"/>
    <w:rsid w:val="00267738"/>
    <w:rsid w:val="0067103E"/>
    <w:rsid w:val="007225FA"/>
    <w:rsid w:val="0095504E"/>
    <w:rsid w:val="00AD7C6E"/>
    <w:rsid w:val="00C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929BA0-6987-47C6-96E5-264AF4B1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2F2"/>
    <w:pPr>
      <w:widowControl w:val="0"/>
      <w:jc w:val="both"/>
    </w:pPr>
    <w:rPr>
      <w:rFonts w:ascii="仿宋_GB2312" w:eastAsia="仿宋_GB2312" w:hAnsi="仿宋_GB2312" w:cs="仿宋_GB2312"/>
      <w:color w:val="FF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03E"/>
    <w:rPr>
      <w:rFonts w:ascii="仿宋_GB2312" w:eastAsia="仿宋_GB2312" w:hAnsi="仿宋_GB2312" w:cs="仿宋_GB2312"/>
      <w:color w:val="FF000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1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103E"/>
    <w:rPr>
      <w:rFonts w:ascii="仿宋_GB2312" w:eastAsia="仿宋_GB2312" w:hAnsi="仿宋_GB2312" w:cs="仿宋_GB2312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关一波</dc:creator>
  <cp:keywords/>
  <dc:description/>
  <cp:lastModifiedBy>关一波</cp:lastModifiedBy>
  <cp:revision>4</cp:revision>
  <dcterms:created xsi:type="dcterms:W3CDTF">2019-01-02T02:15:00Z</dcterms:created>
  <dcterms:modified xsi:type="dcterms:W3CDTF">2019-01-03T03:21:00Z</dcterms:modified>
</cp:coreProperties>
</file>