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简标宋" w:hAnsi="黑体" w:eastAsia="微软简标宋"/>
          <w:sz w:val="44"/>
          <w:szCs w:val="44"/>
        </w:rPr>
      </w:pPr>
      <w:r>
        <w:rPr>
          <w:rFonts w:hint="eastAsia" w:ascii="微软简标宋" w:hAnsi="黑体" w:eastAsia="微软简标宋"/>
          <w:sz w:val="44"/>
          <w:szCs w:val="44"/>
        </w:rPr>
        <w:t>中山市东区产业公共服务</w:t>
      </w:r>
    </w:p>
    <w:p>
      <w:pPr>
        <w:jc w:val="center"/>
        <w:rPr>
          <w:rFonts w:ascii="微软简标宋" w:hAnsi="黑体" w:eastAsia="微软简标宋"/>
          <w:sz w:val="44"/>
          <w:szCs w:val="44"/>
        </w:rPr>
      </w:pPr>
      <w:r>
        <w:rPr>
          <w:rFonts w:hint="eastAsia" w:ascii="微软简标宋" w:hAnsi="黑体" w:eastAsia="微软简标宋"/>
          <w:sz w:val="44"/>
          <w:szCs w:val="44"/>
        </w:rPr>
        <w:t>平台认定试行办法</w:t>
      </w:r>
    </w:p>
    <w:p>
      <w:pPr>
        <w:jc w:val="center"/>
        <w:rPr>
          <w:rFonts w:asciiTheme="majorEastAsia" w:hAnsiTheme="majorEastAsia" w:eastAsiaTheme="majorEastAsia"/>
          <w:b/>
          <w:sz w:val="44"/>
          <w:szCs w:val="44"/>
        </w:rPr>
      </w:pP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bCs/>
          <w:spacing w:val="6"/>
          <w:sz w:val="32"/>
          <w:szCs w:val="32"/>
        </w:rPr>
        <w:t xml:space="preserve">第一条  </w:t>
      </w:r>
      <w:r>
        <w:rPr>
          <w:rFonts w:hint="eastAsia" w:ascii="仿宋_GB2312" w:eastAsia="仿宋_GB2312"/>
          <w:sz w:val="32"/>
          <w:szCs w:val="32"/>
        </w:rPr>
        <w:t xml:space="preserve">为贯彻落实中山市人民政府办公室《关于加快中山市新型公共服务平台集聚区建设的实施意见》精神，充分利用产业公共服务平台推进东区优势传统产业转型升级，进一步提升东区产业综合竞争力，结合东区实际，制定本办法。 </w:t>
      </w:r>
    </w:p>
    <w:p>
      <w:pPr>
        <w:adjustRightInd w:val="0"/>
        <w:snapToGrid w:val="0"/>
        <w:spacing w:line="600" w:lineRule="exact"/>
        <w:rPr>
          <w:rFonts w:ascii="仿宋_GB2312" w:eastAsia="仿宋_GB2312"/>
          <w:spacing w:val="6"/>
          <w:sz w:val="32"/>
          <w:szCs w:val="32"/>
        </w:rPr>
      </w:pPr>
      <w:r>
        <w:rPr>
          <w:rFonts w:hint="eastAsia" w:ascii="仿宋_GB2312" w:eastAsia="仿宋_GB2312"/>
          <w:sz w:val="32"/>
          <w:szCs w:val="32"/>
        </w:rPr>
        <w:t xml:space="preserve">    </w:t>
      </w:r>
      <w:r>
        <w:rPr>
          <w:rFonts w:hint="eastAsia" w:ascii="黑体" w:hAnsi="黑体" w:eastAsia="黑体"/>
          <w:spacing w:val="6"/>
          <w:sz w:val="32"/>
          <w:szCs w:val="32"/>
        </w:rPr>
        <w:t>第二条</w:t>
      </w:r>
      <w:r>
        <w:rPr>
          <w:rFonts w:hint="eastAsia" w:ascii="仿宋_GB2312" w:eastAsia="仿宋_GB2312"/>
          <w:spacing w:val="6"/>
          <w:sz w:val="32"/>
          <w:szCs w:val="32"/>
        </w:rPr>
        <w:t xml:space="preserve">  </w:t>
      </w:r>
      <w:r>
        <w:rPr>
          <w:rFonts w:hint="eastAsia" w:ascii="仿宋_GB2312" w:hAnsi="仿宋_GB2312" w:eastAsia="仿宋_GB2312"/>
          <w:spacing w:val="6"/>
          <w:sz w:val="32"/>
          <w:szCs w:val="32"/>
        </w:rPr>
        <w:t>东区产业公共服务平台认定坚持</w:t>
      </w:r>
      <w:r>
        <w:rPr>
          <w:rFonts w:hint="eastAsia" w:ascii="仿宋_GB2312" w:eastAsia="仿宋_GB2312"/>
          <w:spacing w:val="6"/>
          <w:sz w:val="32"/>
          <w:szCs w:val="32"/>
        </w:rPr>
        <w:t>“</w:t>
      </w:r>
      <w:r>
        <w:rPr>
          <w:rFonts w:hint="eastAsia" w:ascii="仿宋_GB2312" w:hAnsi="仿宋_GB2312" w:eastAsia="仿宋_GB2312"/>
          <w:spacing w:val="6"/>
          <w:sz w:val="32"/>
          <w:szCs w:val="32"/>
        </w:rPr>
        <w:t>公开、公平、公正</w:t>
      </w:r>
      <w:r>
        <w:rPr>
          <w:rFonts w:hint="eastAsia" w:ascii="仿宋_GB2312" w:eastAsia="仿宋_GB2312"/>
          <w:spacing w:val="6"/>
          <w:sz w:val="32"/>
          <w:szCs w:val="32"/>
        </w:rPr>
        <w:t>”</w:t>
      </w:r>
      <w:r>
        <w:rPr>
          <w:rFonts w:hint="eastAsia" w:ascii="仿宋_GB2312" w:hAnsi="仿宋_GB2312" w:eastAsia="仿宋_GB2312"/>
          <w:spacing w:val="6"/>
          <w:sz w:val="32"/>
          <w:szCs w:val="32"/>
        </w:rPr>
        <w:t>的原则，按照申请、审核、公示、批准的程序进行。</w:t>
      </w:r>
    </w:p>
    <w:p>
      <w:pPr>
        <w:adjustRightInd w:val="0"/>
        <w:snapToGrid w:val="0"/>
        <w:spacing w:line="600" w:lineRule="exact"/>
        <w:ind w:firstLine="650" w:firstLineChars="196"/>
        <w:rPr>
          <w:rFonts w:ascii="仿宋_GB2312" w:eastAsia="仿宋_GB2312"/>
          <w:spacing w:val="6"/>
          <w:sz w:val="32"/>
          <w:szCs w:val="32"/>
        </w:rPr>
      </w:pPr>
      <w:r>
        <w:rPr>
          <w:rFonts w:hint="eastAsia" w:ascii="黑体" w:hAnsi="黑体" w:eastAsia="黑体"/>
          <w:spacing w:val="6"/>
          <w:sz w:val="32"/>
          <w:szCs w:val="32"/>
        </w:rPr>
        <w:t>第三条</w:t>
      </w:r>
      <w:r>
        <w:rPr>
          <w:rFonts w:hint="eastAsia" w:ascii="仿宋_GB2312" w:eastAsia="仿宋_GB2312"/>
          <w:spacing w:val="6"/>
          <w:sz w:val="32"/>
          <w:szCs w:val="32"/>
        </w:rPr>
        <w:t xml:space="preserve">  东</w:t>
      </w:r>
      <w:r>
        <w:rPr>
          <w:rFonts w:hint="eastAsia" w:ascii="仿宋_GB2312" w:hAnsi="仿宋_GB2312" w:eastAsia="仿宋_GB2312"/>
          <w:spacing w:val="6"/>
          <w:sz w:val="32"/>
          <w:szCs w:val="32"/>
        </w:rPr>
        <w:t>区招商引资工作领导小组办公室负责东区产业公共服务平台认定工作。</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第四条  </w:t>
      </w:r>
      <w:r>
        <w:rPr>
          <w:rFonts w:hint="eastAsia" w:ascii="仿宋_GB2312" w:eastAsia="仿宋_GB2312"/>
          <w:sz w:val="32"/>
          <w:szCs w:val="32"/>
        </w:rPr>
        <w:t>结合东区产业转型升级需要，</w:t>
      </w:r>
      <w:r>
        <w:rPr>
          <w:rFonts w:hint="eastAsia" w:ascii="仿宋_GB2312" w:hAnsi="仿宋_GB2312" w:eastAsia="仿宋_GB2312"/>
          <w:spacing w:val="6"/>
          <w:sz w:val="32"/>
          <w:szCs w:val="32"/>
        </w:rPr>
        <w:t>东区产业公共服务平台认定范围如下:</w:t>
      </w:r>
      <w:r>
        <w:rPr>
          <w:rFonts w:ascii="仿宋_GB2312" w:eastAsia="仿宋_GB2312"/>
          <w:sz w:val="32"/>
          <w:szCs w:val="32"/>
        </w:rPr>
        <w:t xml:space="preserve"> </w:t>
      </w:r>
    </w:p>
    <w:p>
      <w:pPr>
        <w:spacing w:line="600" w:lineRule="exact"/>
        <w:rPr>
          <w:rFonts w:ascii="仿宋_GB2312" w:hAnsi="仿宋" w:eastAsia="仿宋_GB2312"/>
          <w:spacing w:val="-2"/>
          <w:sz w:val="32"/>
          <w:szCs w:val="32"/>
        </w:rPr>
      </w:pPr>
      <w:r>
        <w:rPr>
          <w:rFonts w:hint="eastAsia" w:ascii="仿宋_GB2312" w:eastAsia="仿宋_GB2312"/>
          <w:sz w:val="32"/>
          <w:szCs w:val="32"/>
        </w:rPr>
        <w:t xml:space="preserve">    </w:t>
      </w:r>
      <w:r>
        <w:rPr>
          <w:rFonts w:hint="eastAsia" w:ascii="黑体" w:hAnsi="黑体" w:eastAsia="黑体"/>
          <w:sz w:val="32"/>
          <w:szCs w:val="32"/>
        </w:rPr>
        <w:t>（一）智能创新产业公共服务平台。</w:t>
      </w:r>
      <w:r>
        <w:rPr>
          <w:rFonts w:hint="eastAsia" w:ascii="仿宋_GB2312" w:hAnsi="仿宋" w:eastAsia="仿宋_GB2312"/>
          <w:sz w:val="32"/>
          <w:szCs w:val="32"/>
        </w:rPr>
        <w:t>通过平台导入产业，包括项目及产业引导落地、资源整合、加速产业开发、引入基金进行投资及项目管理等，有效承接产业发展优势地区溢外的优质技术、人才等资源，为中山市创新驱动发展及产业优化服务</w:t>
      </w:r>
      <w:r>
        <w:rPr>
          <w:rFonts w:hint="eastAsia" w:ascii="仿宋_GB2312" w:hAnsi="仿宋" w:eastAsia="仿宋_GB2312"/>
          <w:spacing w:val="-2"/>
          <w:sz w:val="32"/>
          <w:szCs w:val="32"/>
        </w:rPr>
        <w:t>。</w:t>
      </w:r>
    </w:p>
    <w:p>
      <w:pPr>
        <w:spacing w:line="600" w:lineRule="exact"/>
        <w:rPr>
          <w:rFonts w:ascii="黑体" w:hAnsi="黑体" w:eastAsia="黑体" w:cs="仿宋_GB2312"/>
          <w:sz w:val="32"/>
          <w:szCs w:val="32"/>
        </w:rPr>
      </w:pPr>
      <w:r>
        <w:rPr>
          <w:rFonts w:hint="eastAsia" w:ascii="仿宋_GB2312" w:hAnsi="仿宋" w:eastAsia="仿宋_GB2312"/>
          <w:spacing w:val="-2"/>
          <w:sz w:val="32"/>
          <w:szCs w:val="32"/>
        </w:rPr>
        <w:t xml:space="preserve">    </w:t>
      </w:r>
      <w:r>
        <w:rPr>
          <w:rFonts w:hint="eastAsia" w:ascii="黑体" w:hAnsi="黑体" w:eastAsia="黑体" w:cs="仿宋_GB2312"/>
          <w:sz w:val="32"/>
          <w:szCs w:val="32"/>
        </w:rPr>
        <w:t>（二）智能制造公共服务平台。</w:t>
      </w:r>
      <w:r>
        <w:rPr>
          <w:rFonts w:hint="eastAsia" w:ascii="仿宋_GB2312" w:eastAsia="仿宋_GB2312"/>
          <w:sz w:val="32"/>
          <w:szCs w:val="32"/>
        </w:rPr>
        <w:t>为企业提供智能制造整体解决方案、关键共性技术研发、设备操作维护人才培养、典型案例展示体验、融资租赁、智能制造技术信息查询等一站式服务，推动工业企业加快实施智能制造。</w:t>
      </w:r>
    </w:p>
    <w:p>
      <w:pPr>
        <w:spacing w:line="600" w:lineRule="exact"/>
        <w:ind w:firstLine="640" w:firstLineChars="200"/>
        <w:rPr>
          <w:rFonts w:ascii="仿宋_GB2312" w:hAnsi="黑体" w:eastAsia="仿宋_GB2312" w:cs="仿宋_GB2312"/>
          <w:sz w:val="32"/>
          <w:szCs w:val="32"/>
        </w:rPr>
      </w:pPr>
      <w:r>
        <w:rPr>
          <w:rFonts w:hint="eastAsia" w:ascii="黑体" w:hAnsi="黑体" w:eastAsia="黑体" w:cs="仿宋_GB2312"/>
          <w:sz w:val="32"/>
          <w:szCs w:val="32"/>
        </w:rPr>
        <w:t>（三）互联网+产业公共服务平台。</w:t>
      </w:r>
      <w:r>
        <w:rPr>
          <w:rFonts w:hint="eastAsia" w:ascii="仿宋_GB2312" w:hAnsi="Arial" w:eastAsia="仿宋_GB2312" w:cs="Arial"/>
          <w:sz w:val="32"/>
          <w:szCs w:val="32"/>
          <w:shd w:val="clear" w:color="auto" w:fill="FFFFFF"/>
        </w:rPr>
        <w:t>利用信息通信技术以及互联网平台，让互联网与金融、电子商务、共享设计、智慧教育、文化、健康等行业进行深度融合，充分发挥互联网在社会资源配置中的优化和集成作用，将互联网的创新成果深度融合于</w:t>
      </w:r>
      <w:r>
        <w:rPr>
          <w:rFonts w:hint="eastAsia" w:ascii="仿宋_GB2312" w:eastAsia="仿宋_GB2312"/>
          <w:sz w:val="32"/>
          <w:szCs w:val="32"/>
        </w:rPr>
        <w:t>行业发展之中</w:t>
      </w:r>
      <w:r>
        <w:rPr>
          <w:rFonts w:hint="eastAsia" w:ascii="仿宋_GB2312" w:hAnsi="Arial" w:eastAsia="仿宋_GB2312" w:cs="Arial"/>
          <w:sz w:val="32"/>
          <w:szCs w:val="32"/>
          <w:shd w:val="clear" w:color="auto" w:fill="FFFFFF"/>
        </w:rPr>
        <w:t>，以互联网为基础设施和实现工具促进产业转型升级，提升全社会的创新力和生产力。</w:t>
      </w:r>
    </w:p>
    <w:p>
      <w:pPr>
        <w:spacing w:line="600" w:lineRule="exact"/>
        <w:ind w:firstLine="640" w:firstLineChars="200"/>
        <w:rPr>
          <w:rFonts w:ascii="仿宋_GB2312" w:hAnsi="Calibri" w:eastAsia="仿宋_GB2312" w:cs="Times New Roman"/>
          <w:sz w:val="32"/>
          <w:szCs w:val="32"/>
        </w:rPr>
      </w:pPr>
      <w:r>
        <w:rPr>
          <w:rFonts w:hint="eastAsia" w:ascii="黑体" w:hAnsi="黑体" w:eastAsia="黑体" w:cs="仿宋_GB2312"/>
          <w:sz w:val="32"/>
          <w:szCs w:val="32"/>
        </w:rPr>
        <w:t>（四）科技创新公共服务平台。</w:t>
      </w:r>
      <w:r>
        <w:rPr>
          <w:rFonts w:hint="eastAsia" w:ascii="仿宋_GB2312" w:hAnsi="Calibri" w:eastAsia="仿宋_GB2312" w:cs="Times New Roman"/>
          <w:sz w:val="32"/>
          <w:szCs w:val="32"/>
        </w:rPr>
        <w:t>支撑引领战略性新兴产业发展和传统产业转型升级，有效运用国内外科研院所、高等院校的人才和技术，为企业提供技术开发、技术转让、技术咨询与服务、成果转化、科技资源共享、创业孵化等科技创新服务。</w:t>
      </w:r>
    </w:p>
    <w:p>
      <w:pPr>
        <w:spacing w:line="600" w:lineRule="exact"/>
        <w:ind w:firstLine="640" w:firstLineChars="200"/>
        <w:rPr>
          <w:rFonts w:ascii="仿宋_GB2312" w:hAnsi="Calibri" w:eastAsia="仿宋_GB2312" w:cs="仿宋_GB2312"/>
          <w:sz w:val="32"/>
          <w:szCs w:val="32"/>
        </w:rPr>
      </w:pPr>
      <w:r>
        <w:rPr>
          <w:rFonts w:hint="eastAsia" w:ascii="黑体" w:hAnsi="黑体" w:eastAsia="黑体" w:cs="仿宋_GB2312"/>
          <w:sz w:val="32"/>
          <w:szCs w:val="32"/>
        </w:rPr>
        <w:t>（五）检验检测公共技术服务平台。</w:t>
      </w:r>
      <w:r>
        <w:rPr>
          <w:rFonts w:hint="eastAsia" w:ascii="仿宋_GB2312" w:hAnsi="仿宋_GB2312" w:eastAsia="仿宋_GB2312" w:cs="仿宋_GB2312"/>
          <w:sz w:val="32"/>
          <w:szCs w:val="32"/>
        </w:rPr>
        <w:t>整合和优化配置检验检测资源，汇聚产业集群检验检测能力、创新研发中试能力、标准汇集研究与制修订能力、检测技术研究与方法制修订能力、高端人才吸聚能力、专业技术人员培训能力；面向社会提供相关检验检测认证资源开放共享服务，为工业企业提供质量检验检测、原材料性能测试、认证测试、计量校准等专业化服务，为企业产品质量提升提供有力支撑。大力支持建设物联网、云计算、大数据、新一代移动通讯等战略性新兴产业检验检测平台。</w:t>
      </w:r>
    </w:p>
    <w:p>
      <w:pPr>
        <w:spacing w:line="600" w:lineRule="exact"/>
        <w:ind w:firstLine="640" w:firstLineChars="200"/>
        <w:rPr>
          <w:rFonts w:ascii="仿宋_GB2312" w:hAnsi="Calibri" w:eastAsia="仿宋_GB2312" w:cs="仿宋_GB2312"/>
          <w:sz w:val="32"/>
          <w:szCs w:val="32"/>
        </w:rPr>
      </w:pPr>
      <w:r>
        <w:rPr>
          <w:rFonts w:hint="eastAsia" w:ascii="黑体" w:hAnsi="黑体" w:eastAsia="黑体" w:cs="仿宋_GB2312"/>
          <w:sz w:val="32"/>
          <w:szCs w:val="32"/>
        </w:rPr>
        <w:t>（六）企业精细化管理公共服务平台。</w:t>
      </w:r>
      <w:r>
        <w:rPr>
          <w:rFonts w:hint="eastAsia" w:ascii="仿宋_GB2312" w:hAnsi="Calibri" w:eastAsia="仿宋_GB2312" w:cs="仿宋_GB2312"/>
          <w:sz w:val="32"/>
          <w:szCs w:val="32"/>
        </w:rPr>
        <w:t>为企业发展战略、营销、物资、质量、成本、财务、安全、资本运营、商战谋略、人力资源、领导力提升等方面，提供精益管理、标准化管理、新厂房布局优化等业务和咨询，打造具有中山特色的企业管理模式。促使广大中小企业明确发展方向，不断提升资源利用能力，提高运作效率，取得最大的投入产出效益。</w:t>
      </w:r>
    </w:p>
    <w:p>
      <w:pPr>
        <w:spacing w:line="600" w:lineRule="exact"/>
        <w:ind w:firstLine="640" w:firstLineChars="200"/>
        <w:rPr>
          <w:rFonts w:ascii="仿宋_GB2312" w:hAnsi="Calibri" w:eastAsia="仿宋_GB2312" w:cs="仿宋_GB2312"/>
          <w:sz w:val="32"/>
          <w:szCs w:val="32"/>
        </w:rPr>
      </w:pPr>
      <w:r>
        <w:rPr>
          <w:rFonts w:hint="eastAsia" w:ascii="黑体" w:hAnsi="黑体" w:eastAsia="黑体" w:cs="仿宋_GB2312"/>
          <w:sz w:val="32"/>
          <w:szCs w:val="32"/>
        </w:rPr>
        <w:t>（七）大数据公共服务平台。</w:t>
      </w:r>
      <w:r>
        <w:rPr>
          <w:rFonts w:hint="eastAsia" w:ascii="仿宋_GB2312" w:hAnsi="Calibri" w:eastAsia="仿宋_GB2312" w:cs="仿宋_GB2312"/>
          <w:sz w:val="32"/>
          <w:szCs w:val="32"/>
        </w:rPr>
        <w:t>鼓励具有大数据处理丰富经验和成熟技术的企业，牵头建设大数据公共服务平台，从设计、生产、营销、流通和运维等环节提供数据收集、脱敏、拉通、应用、价值挖掘等一系列公共服务，推动工业设计、智能制造和智能产品的大数据应用。</w:t>
      </w:r>
    </w:p>
    <w:p>
      <w:pPr>
        <w:spacing w:line="600" w:lineRule="exact"/>
        <w:ind w:firstLine="640" w:firstLineChars="200"/>
        <w:rPr>
          <w:rFonts w:ascii="仿宋_GB2312" w:hAnsi="Calibri" w:eastAsia="仿宋_GB2312" w:cs="仿宋_GB2312"/>
          <w:sz w:val="32"/>
          <w:szCs w:val="32"/>
        </w:rPr>
      </w:pPr>
      <w:r>
        <w:rPr>
          <w:rFonts w:hint="eastAsia" w:ascii="黑体" w:hAnsi="黑体" w:eastAsia="黑体" w:cs="仿宋_GB2312"/>
          <w:sz w:val="32"/>
          <w:szCs w:val="32"/>
        </w:rPr>
        <w:t>（八）金融公共服务平台。</w:t>
      </w:r>
      <w:r>
        <w:rPr>
          <w:rFonts w:hint="eastAsia" w:ascii="仿宋_GB2312" w:hAnsi="仿宋_GB2312" w:eastAsia="仿宋_GB2312" w:cs="仿宋_GB2312"/>
          <w:sz w:val="32"/>
          <w:szCs w:val="32"/>
        </w:rPr>
        <w:t>为有资金需求的企业进行融资项目论证和辅导，为企业投融资项目提供专业咨询意见。举办金融论坛、金融培训等专项活动，组织创业投资机构、银行、券商、保险、中介等机构与企业对接，提供全方位投融资和金融服务。逐步建立、推广、完善网上金融服务，提供线上线下多元化融资渠道，精简企业融资成本，解决中小微企业融资难、融资贵等难题。</w:t>
      </w:r>
    </w:p>
    <w:p>
      <w:pPr>
        <w:spacing w:line="600" w:lineRule="exact"/>
        <w:rPr>
          <w:rFonts w:ascii="仿宋_GB2312" w:eastAsia="仿宋_GB2312"/>
          <w:sz w:val="32"/>
          <w:szCs w:val="32"/>
        </w:rPr>
      </w:pPr>
      <w:r>
        <w:rPr>
          <w:rFonts w:hint="eastAsia" w:ascii="仿宋_GB2312" w:eastAsia="仿宋_GB2312"/>
          <w:sz w:val="32"/>
          <w:szCs w:val="32"/>
        </w:rPr>
        <w:t xml:space="preserve">    其他满足东区产业发展规划及企业发展需求的产业公共服务平台。</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第五条  </w:t>
      </w:r>
      <w:r>
        <w:rPr>
          <w:rFonts w:hint="eastAsia" w:ascii="仿宋_GB2312" w:hAnsi="仿宋_GB2312" w:eastAsia="仿宋_GB2312"/>
          <w:spacing w:val="6"/>
          <w:sz w:val="32"/>
          <w:szCs w:val="32"/>
        </w:rPr>
        <w:t>东区产业公共服务平台认定，</w:t>
      </w:r>
      <w:r>
        <w:rPr>
          <w:rFonts w:hint="eastAsia" w:ascii="仿宋_GB2312" w:eastAsia="仿宋_GB2312"/>
          <w:sz w:val="32"/>
          <w:szCs w:val="32"/>
        </w:rPr>
        <w:t>须符合以下基本条件：</w:t>
      </w:r>
    </w:p>
    <w:p>
      <w:pPr>
        <w:spacing w:line="600" w:lineRule="exact"/>
        <w:rPr>
          <w:rFonts w:ascii="仿宋_GB2312" w:eastAsia="仿宋_GB2312"/>
          <w:sz w:val="32"/>
          <w:szCs w:val="32"/>
        </w:rPr>
      </w:pPr>
      <w:r>
        <w:rPr>
          <w:rFonts w:hint="eastAsia" w:ascii="仿宋_GB2312" w:eastAsia="仿宋_GB2312"/>
          <w:sz w:val="32"/>
          <w:szCs w:val="32"/>
        </w:rPr>
        <w:t xml:space="preserve">    （一）平台企业须于2018年7月1日起，在中山市东区进行工商注册，具有独立法人资格及独立运营团队，运营团队人数5人以上，管理制度健全，经营行为规范，服务收费合理；</w:t>
      </w:r>
    </w:p>
    <w:p>
      <w:pPr>
        <w:spacing w:line="600" w:lineRule="exact"/>
        <w:rPr>
          <w:rFonts w:ascii="仿宋_GB2312" w:eastAsia="仿宋_GB2312"/>
          <w:sz w:val="32"/>
          <w:szCs w:val="32"/>
        </w:rPr>
      </w:pPr>
      <w:r>
        <w:rPr>
          <w:rFonts w:hint="eastAsia" w:ascii="仿宋_GB2312" w:eastAsia="仿宋_GB2312"/>
          <w:sz w:val="32"/>
          <w:szCs w:val="32"/>
        </w:rPr>
        <w:t xml:space="preserve">    （二）平台企业在东区依法办理税务登记，实行统一核算，并在东区汇缴所得税；</w:t>
      </w:r>
    </w:p>
    <w:p>
      <w:pPr>
        <w:spacing w:line="600" w:lineRule="exact"/>
        <w:rPr>
          <w:rFonts w:ascii="仿宋_GB2312" w:eastAsia="仿宋_GB2312"/>
          <w:sz w:val="32"/>
          <w:szCs w:val="32"/>
        </w:rPr>
      </w:pPr>
      <w:r>
        <w:rPr>
          <w:rFonts w:hint="eastAsia" w:ascii="仿宋_GB2312" w:eastAsia="仿宋_GB2312"/>
          <w:sz w:val="32"/>
          <w:szCs w:val="32"/>
        </w:rPr>
        <w:t xml:space="preserve">    （三）平台机构满足我市企业发展需求，与市级部门、东区办事处签订合作协议，有明确的发展规划与年度目标；</w:t>
      </w:r>
    </w:p>
    <w:p>
      <w:pPr>
        <w:spacing w:line="600" w:lineRule="exact"/>
        <w:rPr>
          <w:rFonts w:ascii="仿宋_GB2312" w:eastAsia="仿宋_GB2312"/>
          <w:sz w:val="32"/>
          <w:szCs w:val="32"/>
        </w:rPr>
      </w:pPr>
      <w:r>
        <w:rPr>
          <w:rFonts w:hint="eastAsia" w:ascii="仿宋_GB2312" w:eastAsia="仿宋_GB2312"/>
          <w:sz w:val="32"/>
          <w:szCs w:val="32"/>
        </w:rPr>
        <w:t xml:space="preserve">    （四）平台需在东区拥有独立的办公场所，以及与所提供服务相适应的条件和设施，具有较强的专业服务和组织社会资源能力；</w:t>
      </w:r>
    </w:p>
    <w:p>
      <w:pPr>
        <w:spacing w:line="600" w:lineRule="exact"/>
        <w:rPr>
          <w:rFonts w:ascii="仿宋_GB2312" w:eastAsia="仿宋_GB2312"/>
          <w:sz w:val="32"/>
          <w:szCs w:val="32"/>
        </w:rPr>
      </w:pPr>
      <w:r>
        <w:rPr>
          <w:rFonts w:hint="eastAsia" w:ascii="仿宋_GB2312" w:eastAsia="仿宋_GB2312"/>
          <w:sz w:val="32"/>
          <w:szCs w:val="32"/>
        </w:rPr>
        <w:t xml:space="preserve">    （五）平台需按照开放性和资源共享性原则，提供法律咨询、互联网+、大数据、智能化改造、研发设计、检验检测、两化融合、教育培训等公共服务；</w:t>
      </w:r>
    </w:p>
    <w:p>
      <w:pPr>
        <w:spacing w:line="600" w:lineRule="exact"/>
        <w:rPr>
          <w:rFonts w:ascii="仿宋_GB2312" w:eastAsia="仿宋_GB2312"/>
          <w:sz w:val="32"/>
          <w:szCs w:val="32"/>
        </w:rPr>
      </w:pPr>
      <w:r>
        <w:rPr>
          <w:rFonts w:hint="eastAsia" w:ascii="仿宋_GB2312" w:eastAsia="仿宋_GB2312"/>
          <w:sz w:val="32"/>
          <w:szCs w:val="32"/>
        </w:rPr>
        <w:t xml:space="preserve">    （六）国内外知名企业非独立法人机构可一事一议。</w:t>
      </w:r>
    </w:p>
    <w:p>
      <w:pPr>
        <w:adjustRightInd w:val="0"/>
        <w:snapToGrid w:val="0"/>
        <w:spacing w:line="600" w:lineRule="exact"/>
        <w:ind w:firstLine="650" w:firstLineChars="196"/>
        <w:rPr>
          <w:rFonts w:ascii="仿宋_GB2312" w:eastAsia="仿宋_GB2312"/>
          <w:spacing w:val="6"/>
          <w:sz w:val="32"/>
          <w:szCs w:val="32"/>
        </w:rPr>
      </w:pPr>
      <w:r>
        <w:rPr>
          <w:rFonts w:hAnsi="黑体" w:eastAsia="黑体"/>
          <w:spacing w:val="6"/>
          <w:sz w:val="32"/>
          <w:szCs w:val="32"/>
        </w:rPr>
        <w:t>第</w:t>
      </w:r>
      <w:r>
        <w:rPr>
          <w:rFonts w:hint="eastAsia" w:hAnsi="黑体" w:eastAsia="黑体"/>
          <w:spacing w:val="6"/>
          <w:sz w:val="32"/>
          <w:szCs w:val="32"/>
        </w:rPr>
        <w:t>六</w:t>
      </w:r>
      <w:r>
        <w:rPr>
          <w:rFonts w:hAnsi="黑体" w:eastAsia="黑体"/>
          <w:spacing w:val="6"/>
          <w:sz w:val="32"/>
          <w:szCs w:val="32"/>
        </w:rPr>
        <w:t>条</w:t>
      </w:r>
      <w:r>
        <w:rPr>
          <w:b/>
          <w:spacing w:val="6"/>
          <w:sz w:val="32"/>
          <w:szCs w:val="32"/>
        </w:rPr>
        <w:t xml:space="preserve"> </w:t>
      </w:r>
      <w:r>
        <w:rPr>
          <w:rFonts w:hint="eastAsia" w:ascii="仿宋_GB2312" w:hAnsi="仿宋_GB2312" w:eastAsia="仿宋_GB2312"/>
          <w:spacing w:val="6"/>
          <w:sz w:val="32"/>
          <w:szCs w:val="32"/>
        </w:rPr>
        <w:t>东区产业公共服务平台认定程序</w:t>
      </w:r>
    </w:p>
    <w:p>
      <w:pPr>
        <w:adjustRightInd w:val="0"/>
        <w:snapToGrid w:val="0"/>
        <w:spacing w:line="600" w:lineRule="exact"/>
        <w:ind w:firstLine="664" w:firstLineChars="200"/>
        <w:rPr>
          <w:rFonts w:ascii="仿宋_GB2312" w:eastAsia="仿宋_GB2312"/>
          <w:spacing w:val="6"/>
          <w:sz w:val="32"/>
          <w:szCs w:val="32"/>
        </w:rPr>
      </w:pPr>
      <w:r>
        <w:rPr>
          <w:rFonts w:hint="eastAsia" w:ascii="仿宋_GB2312" w:eastAsia="仿宋_GB2312"/>
          <w:spacing w:val="6"/>
          <w:sz w:val="32"/>
          <w:szCs w:val="32"/>
        </w:rPr>
        <w:t>申请单位</w:t>
      </w:r>
      <w:r>
        <w:rPr>
          <w:rFonts w:hint="eastAsia" w:ascii="仿宋_GB2312" w:hAnsi="仿宋_GB2312" w:eastAsia="仿宋_GB2312"/>
          <w:spacing w:val="6"/>
          <w:sz w:val="32"/>
          <w:szCs w:val="32"/>
        </w:rPr>
        <w:t>按要求向东区招商引资工作领导小组办公室提交相关材料和有效证明文件；东区招商引资工作领导小组办公室组织第三方机构进行评审，评审结果报东</w:t>
      </w:r>
      <w:r>
        <w:rPr>
          <w:rFonts w:hint="eastAsia" w:ascii="仿宋_GB2312" w:eastAsia="仿宋_GB2312"/>
          <w:spacing w:val="6"/>
          <w:sz w:val="32"/>
          <w:szCs w:val="32"/>
        </w:rPr>
        <w:t>区招商引资工作领导小组审核；东</w:t>
      </w:r>
      <w:r>
        <w:rPr>
          <w:rFonts w:hint="eastAsia" w:ascii="仿宋_GB2312" w:hAnsi="仿宋_GB2312" w:eastAsia="仿宋_GB2312"/>
          <w:spacing w:val="6"/>
          <w:sz w:val="32"/>
          <w:szCs w:val="32"/>
        </w:rPr>
        <w:t>区招商引资工作领导小组办公室</w:t>
      </w:r>
      <w:r>
        <w:rPr>
          <w:rFonts w:hint="eastAsia" w:ascii="仿宋_GB2312" w:eastAsia="仿宋_GB2312"/>
          <w:spacing w:val="6"/>
          <w:sz w:val="32"/>
          <w:szCs w:val="32"/>
        </w:rPr>
        <w:t>将经审核的产业公共服务平台名单向社会公示，公示时间为5个工作日；公示无异议的，报请东区党工委、办事处备案后由东区财政分局按规定统一拨付。</w:t>
      </w:r>
    </w:p>
    <w:p>
      <w:pPr>
        <w:adjustRightInd w:val="0"/>
        <w:snapToGrid w:val="0"/>
        <w:spacing w:line="600" w:lineRule="exact"/>
        <w:ind w:firstLine="664" w:firstLineChars="200"/>
        <w:rPr>
          <w:rFonts w:ascii="仿宋_GB2312" w:hAnsi="Times New Roman" w:eastAsia="仿宋_GB2312" w:cs="Times New Roman"/>
          <w:spacing w:val="6"/>
          <w:sz w:val="32"/>
          <w:szCs w:val="32"/>
        </w:rPr>
      </w:pPr>
      <w:r>
        <w:rPr>
          <w:rFonts w:hint="eastAsia" w:ascii="黑体" w:hAnsi="黑体" w:eastAsia="黑体" w:cs="Times New Roman"/>
          <w:bCs/>
          <w:spacing w:val="6"/>
          <w:sz w:val="32"/>
          <w:szCs w:val="32"/>
        </w:rPr>
        <w:t>第七条</w:t>
      </w:r>
      <w:r>
        <w:rPr>
          <w:rFonts w:hint="eastAsia" w:ascii="仿宋_GB2312" w:hAnsi="Times New Roman" w:eastAsia="仿宋_GB2312" w:cs="Times New Roman"/>
          <w:b/>
          <w:spacing w:val="6"/>
          <w:sz w:val="32"/>
          <w:szCs w:val="32"/>
        </w:rPr>
        <w:t xml:space="preserve">  </w:t>
      </w:r>
      <w:r>
        <w:rPr>
          <w:rFonts w:hint="eastAsia" w:ascii="仿宋_GB2312" w:hAnsi="Times New Roman" w:eastAsia="仿宋_GB2312" w:cs="Times New Roman"/>
          <w:spacing w:val="6"/>
          <w:sz w:val="32"/>
          <w:szCs w:val="32"/>
        </w:rPr>
        <w:t>申请认定为东区产业公共服务平台须提交以下材料：</w:t>
      </w:r>
    </w:p>
    <w:p>
      <w:pPr>
        <w:adjustRightInd w:val="0"/>
        <w:snapToGrid w:val="0"/>
        <w:spacing w:line="600" w:lineRule="exact"/>
        <w:rPr>
          <w:rFonts w:ascii="仿宋_GB2312" w:eastAsia="仿宋_GB2312"/>
          <w:spacing w:val="6"/>
          <w:sz w:val="32"/>
          <w:szCs w:val="32"/>
        </w:rPr>
      </w:pPr>
      <w:r>
        <w:rPr>
          <w:rFonts w:hint="eastAsia"/>
          <w:spacing w:val="6"/>
          <w:sz w:val="32"/>
          <w:szCs w:val="32"/>
        </w:rPr>
        <w:t xml:space="preserve">    </w:t>
      </w:r>
      <w:r>
        <w:rPr>
          <w:rFonts w:hint="eastAsia" w:ascii="仿宋_GB2312" w:eastAsia="仿宋_GB2312"/>
          <w:spacing w:val="6"/>
          <w:sz w:val="32"/>
          <w:szCs w:val="32"/>
        </w:rPr>
        <w:t>（一）东区</w:t>
      </w:r>
      <w:r>
        <w:rPr>
          <w:rFonts w:hint="eastAsia" w:ascii="仿宋_GB2312" w:hAnsi="仿宋_GB2312" w:eastAsia="仿宋_GB2312"/>
          <w:spacing w:val="6"/>
          <w:sz w:val="32"/>
          <w:szCs w:val="32"/>
        </w:rPr>
        <w:t>产业公共服务平台认定</w:t>
      </w:r>
      <w:r>
        <w:rPr>
          <w:rFonts w:hint="eastAsia" w:ascii="仿宋_GB2312" w:eastAsia="仿宋_GB2312"/>
          <w:spacing w:val="6"/>
          <w:sz w:val="32"/>
          <w:szCs w:val="32"/>
        </w:rPr>
        <w:t>申请表（附件1）。</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（二）公司法定代表人签署的针对本办法第八条的承诺书（附件2）。</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（三）平台企业工商营业执照。</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（四）相关管理规章制度。</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（五）场所租赁合同。</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（六）社保经办机构出具的平台运营团队在中山市参加社会保险证明材料。</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（七）物价部门出具的收费许可证明材料。</w:t>
      </w:r>
    </w:p>
    <w:p>
      <w:pPr>
        <w:adjustRightInd w:val="0"/>
        <w:snapToGrid w:val="0"/>
        <w:spacing w:line="600" w:lineRule="exact"/>
        <w:rPr>
          <w:rFonts w:ascii="仿宋_GB2312" w:eastAsia="仿宋_GB2312"/>
          <w:spacing w:val="6"/>
          <w:sz w:val="32"/>
          <w:szCs w:val="32"/>
        </w:rPr>
      </w:pPr>
      <w:r>
        <w:rPr>
          <w:rFonts w:hint="eastAsia" w:ascii="仿宋_GB2312" w:eastAsia="仿宋_GB2312"/>
          <w:spacing w:val="6"/>
          <w:sz w:val="32"/>
          <w:szCs w:val="32"/>
        </w:rPr>
        <w:t xml:space="preserve">    （八）其他相关证明文件。</w:t>
      </w:r>
    </w:p>
    <w:p>
      <w:pPr>
        <w:pStyle w:val="9"/>
        <w:adjustRightInd w:val="0"/>
        <w:snapToGrid w:val="0"/>
        <w:spacing w:line="600" w:lineRule="exact"/>
        <w:ind w:firstLine="200" w:firstLineChars="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 xml:space="preserve">   </w:t>
      </w:r>
      <w:r>
        <w:rPr>
          <w:rFonts w:hint="eastAsia" w:ascii="仿宋_GB2312" w:eastAsia="仿宋_GB2312"/>
          <w:spacing w:val="6"/>
          <w:sz w:val="32"/>
          <w:szCs w:val="32"/>
        </w:rPr>
        <w:t>以上资料除附件1、2外，其他资料须查核原件，提交复印件，注明与原件相符，加盖公章并装订成册。</w:t>
      </w:r>
    </w:p>
    <w:p>
      <w:pPr>
        <w:adjustRightInd w:val="0"/>
        <w:snapToGrid w:val="0"/>
        <w:spacing w:line="600" w:lineRule="exact"/>
        <w:ind w:firstLine="650" w:firstLineChars="196"/>
        <w:rPr>
          <w:rFonts w:ascii="仿宋_GB2312" w:eastAsia="仿宋_GB2312"/>
          <w:spacing w:val="6"/>
          <w:sz w:val="32"/>
          <w:szCs w:val="32"/>
        </w:rPr>
      </w:pPr>
      <w:r>
        <w:rPr>
          <w:rFonts w:hAnsi="黑体" w:eastAsia="黑体"/>
          <w:spacing w:val="6"/>
          <w:sz w:val="32"/>
          <w:szCs w:val="32"/>
        </w:rPr>
        <w:t>第</w:t>
      </w:r>
      <w:r>
        <w:rPr>
          <w:rFonts w:hint="eastAsia" w:hAnsi="黑体" w:eastAsia="黑体"/>
          <w:spacing w:val="6"/>
          <w:sz w:val="32"/>
          <w:szCs w:val="32"/>
        </w:rPr>
        <w:t>八</w:t>
      </w:r>
      <w:r>
        <w:rPr>
          <w:rFonts w:hAnsi="黑体" w:eastAsia="黑体"/>
          <w:spacing w:val="6"/>
          <w:sz w:val="32"/>
          <w:szCs w:val="32"/>
        </w:rPr>
        <w:t>条</w:t>
      </w:r>
      <w:r>
        <w:rPr>
          <w:spacing w:val="6"/>
          <w:sz w:val="32"/>
          <w:szCs w:val="32"/>
        </w:rPr>
        <w:t xml:space="preserve">  </w:t>
      </w:r>
      <w:r>
        <w:rPr>
          <w:rFonts w:hint="eastAsia" w:ascii="仿宋_GB2312" w:hAnsi="仿宋_GB2312" w:eastAsia="仿宋_GB2312"/>
          <w:spacing w:val="6"/>
          <w:sz w:val="32"/>
          <w:szCs w:val="32"/>
        </w:rPr>
        <w:t>经认定为东区产业公共服务平台的相关企业须向东区办事处承诺</w:t>
      </w:r>
      <w:r>
        <w:rPr>
          <w:rFonts w:hint="eastAsia" w:ascii="仿宋_GB2312" w:eastAsia="仿宋_GB2312"/>
          <w:spacing w:val="6"/>
          <w:sz w:val="32"/>
          <w:szCs w:val="32"/>
        </w:rPr>
        <w:t>5</w:t>
      </w:r>
      <w:r>
        <w:rPr>
          <w:rFonts w:hint="eastAsia" w:ascii="仿宋_GB2312" w:hAnsi="仿宋_GB2312" w:eastAsia="仿宋_GB2312"/>
          <w:spacing w:val="6"/>
          <w:sz w:val="32"/>
          <w:szCs w:val="32"/>
        </w:rPr>
        <w:t>年内不将注册地迁离东区，不改变其在东区的纳税义务；未经同意擅自迁出者，须按东区办事处通知的时间无条件退回所得扶持资金，并按银行同期贷款基准利率支付利息。</w:t>
      </w:r>
    </w:p>
    <w:p>
      <w:pPr>
        <w:adjustRightInd w:val="0"/>
        <w:snapToGrid w:val="0"/>
        <w:spacing w:line="600" w:lineRule="exact"/>
        <w:ind w:firstLine="650" w:firstLineChars="196"/>
        <w:rPr>
          <w:spacing w:val="6"/>
          <w:sz w:val="32"/>
          <w:szCs w:val="32"/>
        </w:rPr>
      </w:pPr>
      <w:r>
        <w:rPr>
          <w:rFonts w:hAnsi="黑体" w:eastAsia="黑体"/>
          <w:spacing w:val="6"/>
          <w:sz w:val="32"/>
          <w:szCs w:val="32"/>
        </w:rPr>
        <w:t>第</w:t>
      </w:r>
      <w:r>
        <w:rPr>
          <w:rFonts w:hint="eastAsia" w:hAnsi="黑体" w:eastAsia="黑体"/>
          <w:spacing w:val="6"/>
          <w:sz w:val="32"/>
          <w:szCs w:val="32"/>
        </w:rPr>
        <w:t>九</w:t>
      </w:r>
      <w:r>
        <w:rPr>
          <w:rFonts w:hAnsi="黑体" w:eastAsia="黑体"/>
          <w:spacing w:val="6"/>
          <w:sz w:val="32"/>
          <w:szCs w:val="32"/>
        </w:rPr>
        <w:t>条</w:t>
      </w:r>
      <w:r>
        <w:rPr>
          <w:b/>
          <w:spacing w:val="6"/>
          <w:sz w:val="32"/>
          <w:szCs w:val="32"/>
        </w:rPr>
        <w:t xml:space="preserve"> </w:t>
      </w:r>
      <w:r>
        <w:rPr>
          <w:spacing w:val="6"/>
          <w:sz w:val="32"/>
          <w:szCs w:val="32"/>
        </w:rPr>
        <w:t xml:space="preserve"> </w:t>
      </w:r>
      <w:r>
        <w:rPr>
          <w:rFonts w:hint="eastAsia"/>
          <w:spacing w:val="6"/>
          <w:sz w:val="32"/>
          <w:szCs w:val="32"/>
        </w:rPr>
        <w:t>东</w:t>
      </w:r>
      <w:r>
        <w:rPr>
          <w:rFonts w:hint="eastAsia" w:ascii="仿宋_GB2312" w:hAnsi="仿宋_GB2312" w:eastAsia="仿宋_GB2312"/>
          <w:spacing w:val="6"/>
          <w:sz w:val="32"/>
          <w:szCs w:val="32"/>
        </w:rPr>
        <w:t>区招商引资工作领导小组办公室</w:t>
      </w:r>
      <w:r>
        <w:rPr>
          <w:rFonts w:hint="eastAsia" w:ascii="仿宋_GB2312" w:eastAsia="仿宋_GB2312"/>
          <w:color w:val="auto"/>
          <w:spacing w:val="6"/>
          <w:sz w:val="32"/>
          <w:szCs w:val="32"/>
        </w:rPr>
        <w:t>每年</w:t>
      </w:r>
      <w:r>
        <w:rPr>
          <w:rFonts w:hint="eastAsia" w:ascii="仿宋_GB2312" w:eastAsia="仿宋_GB2312"/>
          <w:spacing w:val="6"/>
          <w:sz w:val="32"/>
          <w:szCs w:val="32"/>
        </w:rPr>
        <w:t>对东区</w:t>
      </w:r>
      <w:r>
        <w:rPr>
          <w:rFonts w:hint="eastAsia" w:ascii="仿宋_GB2312" w:hAnsi="仿宋_GB2312" w:eastAsia="仿宋_GB2312"/>
          <w:spacing w:val="6"/>
          <w:sz w:val="32"/>
          <w:szCs w:val="32"/>
        </w:rPr>
        <w:t>产业公共服务平台</w:t>
      </w:r>
      <w:r>
        <w:rPr>
          <w:rFonts w:hint="eastAsia" w:ascii="仿宋_GB2312" w:eastAsia="仿宋_GB2312"/>
          <w:spacing w:val="6"/>
          <w:sz w:val="32"/>
          <w:szCs w:val="32"/>
        </w:rPr>
        <w:t>进行动态评估，经评估不符合条件的，将退出东区重点项目库，停止享受相关扶持政策。</w:t>
      </w:r>
    </w:p>
    <w:p>
      <w:pPr>
        <w:adjustRightInd w:val="0"/>
        <w:snapToGrid w:val="0"/>
        <w:spacing w:line="600" w:lineRule="exact"/>
        <w:ind w:firstLine="650" w:firstLineChars="196"/>
        <w:rPr>
          <w:rFonts w:ascii="仿宋_GB2312" w:eastAsia="仿宋_GB2312"/>
          <w:spacing w:val="6"/>
          <w:sz w:val="32"/>
          <w:szCs w:val="32"/>
        </w:rPr>
      </w:pPr>
      <w:r>
        <w:rPr>
          <w:rFonts w:hAnsi="黑体" w:eastAsia="黑体"/>
          <w:spacing w:val="6"/>
          <w:sz w:val="32"/>
          <w:szCs w:val="32"/>
        </w:rPr>
        <w:t>第十条</w:t>
      </w:r>
      <w:r>
        <w:rPr>
          <w:spacing w:val="6"/>
          <w:sz w:val="32"/>
          <w:szCs w:val="32"/>
        </w:rPr>
        <w:t xml:space="preserve">  </w:t>
      </w:r>
      <w:r>
        <w:rPr>
          <w:rFonts w:hint="eastAsia" w:ascii="仿宋_GB2312" w:eastAsia="仿宋_GB2312"/>
          <w:spacing w:val="6"/>
          <w:sz w:val="32"/>
          <w:szCs w:val="32"/>
        </w:rPr>
        <w:t>经认定为</w:t>
      </w:r>
      <w:r>
        <w:rPr>
          <w:rFonts w:hint="eastAsia" w:ascii="仿宋_GB2312" w:hAnsi="仿宋_GB2312" w:eastAsia="仿宋_GB2312"/>
          <w:spacing w:val="6"/>
          <w:sz w:val="32"/>
          <w:szCs w:val="32"/>
        </w:rPr>
        <w:t>东区产业公共服务平台</w:t>
      </w:r>
      <w:r>
        <w:rPr>
          <w:rFonts w:hint="eastAsia" w:ascii="仿宋_GB2312" w:eastAsia="仿宋_GB2312"/>
          <w:spacing w:val="6"/>
          <w:sz w:val="32"/>
          <w:szCs w:val="32"/>
        </w:rPr>
        <w:t>的相关企业有变更企业名称、变更法定代表人、重组等重大事项的，应在办理相关手续后10个工作日内将相关情况报东</w:t>
      </w:r>
      <w:r>
        <w:rPr>
          <w:rFonts w:hint="eastAsia" w:ascii="仿宋_GB2312" w:hAnsi="仿宋_GB2312" w:eastAsia="仿宋_GB2312"/>
          <w:spacing w:val="6"/>
          <w:sz w:val="32"/>
          <w:szCs w:val="32"/>
        </w:rPr>
        <w:t>区招商引资工作领导小组办公室</w:t>
      </w:r>
      <w:r>
        <w:rPr>
          <w:rFonts w:hint="eastAsia" w:ascii="仿宋_GB2312" w:eastAsia="仿宋_GB2312"/>
          <w:spacing w:val="6"/>
          <w:sz w:val="32"/>
          <w:szCs w:val="32"/>
        </w:rPr>
        <w:t>。</w:t>
      </w:r>
    </w:p>
    <w:p>
      <w:pPr>
        <w:adjustRightInd w:val="0"/>
        <w:snapToGrid w:val="0"/>
        <w:spacing w:line="600" w:lineRule="exact"/>
        <w:ind w:firstLine="650" w:firstLineChars="196"/>
        <w:rPr>
          <w:rFonts w:ascii="仿宋_GB2312" w:eastAsia="仿宋_GB2312"/>
          <w:spacing w:val="6"/>
          <w:sz w:val="32"/>
          <w:szCs w:val="32"/>
        </w:rPr>
      </w:pPr>
      <w:r>
        <w:rPr>
          <w:rFonts w:hAnsi="黑体" w:eastAsia="黑体"/>
          <w:spacing w:val="6"/>
          <w:sz w:val="32"/>
          <w:szCs w:val="32"/>
        </w:rPr>
        <w:t>第十</w:t>
      </w:r>
      <w:r>
        <w:rPr>
          <w:rFonts w:hint="eastAsia" w:hAnsi="黑体" w:eastAsia="黑体"/>
          <w:spacing w:val="6"/>
          <w:sz w:val="32"/>
          <w:szCs w:val="32"/>
        </w:rPr>
        <w:t>一</w:t>
      </w:r>
      <w:r>
        <w:rPr>
          <w:rFonts w:hAnsi="黑体" w:eastAsia="黑体"/>
          <w:spacing w:val="6"/>
          <w:sz w:val="32"/>
          <w:szCs w:val="32"/>
        </w:rPr>
        <w:t>条</w:t>
      </w:r>
      <w:r>
        <w:rPr>
          <w:b/>
          <w:spacing w:val="6"/>
          <w:sz w:val="32"/>
          <w:szCs w:val="32"/>
        </w:rPr>
        <w:t xml:space="preserve"> </w:t>
      </w:r>
      <w:r>
        <w:rPr>
          <w:spacing w:val="6"/>
          <w:sz w:val="32"/>
          <w:szCs w:val="32"/>
        </w:rPr>
        <w:t xml:space="preserve"> </w:t>
      </w:r>
      <w:r>
        <w:rPr>
          <w:rFonts w:hint="eastAsia" w:ascii="仿宋_GB2312" w:eastAsia="仿宋_GB2312"/>
          <w:spacing w:val="6"/>
          <w:sz w:val="32"/>
          <w:szCs w:val="32"/>
        </w:rPr>
        <w:t>平台企业上报的相关申请材料须真实可靠。经核实属提供虚假材料的，两年内不得再申请认定为</w:t>
      </w:r>
      <w:r>
        <w:rPr>
          <w:rFonts w:hint="eastAsia" w:ascii="仿宋_GB2312" w:hAnsi="仿宋_GB2312" w:eastAsia="仿宋_GB2312"/>
          <w:spacing w:val="6"/>
          <w:sz w:val="32"/>
          <w:szCs w:val="32"/>
        </w:rPr>
        <w:t>东区产业公共服务平台</w:t>
      </w:r>
      <w:r>
        <w:rPr>
          <w:rFonts w:hint="eastAsia" w:ascii="仿宋_GB2312" w:eastAsia="仿宋_GB2312"/>
          <w:spacing w:val="6"/>
          <w:sz w:val="32"/>
          <w:szCs w:val="32"/>
        </w:rPr>
        <w:t>；已认定为</w:t>
      </w:r>
      <w:r>
        <w:rPr>
          <w:rFonts w:hint="eastAsia" w:ascii="仿宋_GB2312" w:hAnsi="仿宋_GB2312" w:eastAsia="仿宋_GB2312"/>
          <w:spacing w:val="6"/>
          <w:sz w:val="32"/>
          <w:szCs w:val="32"/>
        </w:rPr>
        <w:t>东区产业公共服务平台</w:t>
      </w:r>
      <w:r>
        <w:rPr>
          <w:rFonts w:hint="eastAsia" w:ascii="仿宋_GB2312" w:eastAsia="仿宋_GB2312"/>
          <w:spacing w:val="6"/>
          <w:sz w:val="32"/>
          <w:szCs w:val="32"/>
        </w:rPr>
        <w:t>的，取消其认定资格，退缴其所获扶持资金；涉嫌犯罪的，移交司法机关处理。</w:t>
      </w:r>
    </w:p>
    <w:p>
      <w:pPr>
        <w:adjustRightInd w:val="0"/>
        <w:snapToGrid w:val="0"/>
        <w:spacing w:line="600" w:lineRule="exact"/>
        <w:ind w:firstLine="640"/>
        <w:rPr>
          <w:rFonts w:ascii="仿宋_GB2312" w:eastAsia="仿宋_GB2312"/>
          <w:spacing w:val="6"/>
          <w:sz w:val="32"/>
          <w:szCs w:val="32"/>
        </w:rPr>
      </w:pPr>
      <w:r>
        <w:rPr>
          <w:rFonts w:hAnsi="黑体" w:eastAsia="黑体"/>
          <w:spacing w:val="6"/>
          <w:sz w:val="32"/>
          <w:szCs w:val="32"/>
        </w:rPr>
        <w:t>第十</w:t>
      </w:r>
      <w:r>
        <w:rPr>
          <w:rFonts w:hint="eastAsia" w:hAnsi="黑体" w:eastAsia="黑体"/>
          <w:spacing w:val="6"/>
          <w:sz w:val="32"/>
          <w:szCs w:val="32"/>
        </w:rPr>
        <w:t>二</w:t>
      </w:r>
      <w:r>
        <w:rPr>
          <w:rFonts w:hAnsi="黑体" w:eastAsia="黑体"/>
          <w:spacing w:val="6"/>
          <w:sz w:val="32"/>
          <w:szCs w:val="32"/>
        </w:rPr>
        <w:t>条</w:t>
      </w:r>
      <w:r>
        <w:rPr>
          <w:spacing w:val="6"/>
          <w:sz w:val="32"/>
          <w:szCs w:val="32"/>
        </w:rPr>
        <w:t xml:space="preserve">  </w:t>
      </w:r>
      <w:r>
        <w:rPr>
          <w:rFonts w:hint="eastAsia" w:ascii="仿宋_GB2312" w:eastAsia="仿宋_GB2312"/>
          <w:spacing w:val="6"/>
          <w:sz w:val="32"/>
          <w:szCs w:val="32"/>
        </w:rPr>
        <w:t>东区招商引资工作领导小组根据工作实际情况，对本办法进行修订。</w:t>
      </w:r>
    </w:p>
    <w:p>
      <w:pPr>
        <w:adjustRightInd w:val="0"/>
        <w:snapToGrid w:val="0"/>
        <w:spacing w:line="600" w:lineRule="exact"/>
        <w:ind w:firstLine="640"/>
        <w:rPr>
          <w:rFonts w:ascii="仿宋_GB2312" w:eastAsia="仿宋_GB2312"/>
          <w:spacing w:val="6"/>
          <w:sz w:val="32"/>
          <w:szCs w:val="32"/>
        </w:rPr>
      </w:pPr>
      <w:r>
        <w:rPr>
          <w:rFonts w:hAnsi="黑体" w:eastAsia="黑体"/>
          <w:spacing w:val="6"/>
          <w:sz w:val="32"/>
          <w:szCs w:val="32"/>
        </w:rPr>
        <w:t>第十</w:t>
      </w:r>
      <w:r>
        <w:rPr>
          <w:rFonts w:hint="eastAsia" w:hAnsi="黑体" w:eastAsia="黑体"/>
          <w:spacing w:val="6"/>
          <w:sz w:val="32"/>
          <w:szCs w:val="32"/>
        </w:rPr>
        <w:t>三</w:t>
      </w:r>
      <w:r>
        <w:rPr>
          <w:rFonts w:hAnsi="黑体" w:eastAsia="黑体"/>
          <w:spacing w:val="6"/>
          <w:sz w:val="32"/>
          <w:szCs w:val="32"/>
        </w:rPr>
        <w:t>条</w:t>
      </w:r>
      <w:r>
        <w:rPr>
          <w:spacing w:val="6"/>
          <w:sz w:val="32"/>
          <w:szCs w:val="32"/>
        </w:rPr>
        <w:t xml:space="preserve">  </w:t>
      </w:r>
      <w:r>
        <w:rPr>
          <w:rFonts w:hint="eastAsia" w:ascii="仿宋_GB2312" w:eastAsia="仿宋_GB2312"/>
          <w:spacing w:val="6"/>
          <w:sz w:val="32"/>
          <w:szCs w:val="32"/>
        </w:rPr>
        <w:t>本办法由东区经济和科技信息局会同相关部门负责解释。</w:t>
      </w:r>
    </w:p>
    <w:p>
      <w:pPr>
        <w:adjustRightInd w:val="0"/>
        <w:snapToGrid w:val="0"/>
        <w:spacing w:line="600" w:lineRule="exact"/>
        <w:ind w:left="315" w:leftChars="150" w:firstLine="315" w:firstLineChars="95"/>
        <w:rPr>
          <w:rFonts w:ascii="仿宋_GB2312" w:eastAsia="仿宋_GB2312"/>
          <w:spacing w:val="6"/>
          <w:sz w:val="32"/>
          <w:szCs w:val="32"/>
        </w:rPr>
      </w:pPr>
      <w:r>
        <w:rPr>
          <w:rFonts w:hAnsi="黑体" w:eastAsia="黑体"/>
          <w:spacing w:val="6"/>
          <w:sz w:val="32"/>
          <w:szCs w:val="32"/>
        </w:rPr>
        <w:t>第十</w:t>
      </w:r>
      <w:r>
        <w:rPr>
          <w:rFonts w:hint="eastAsia" w:hAnsi="黑体" w:eastAsia="黑体"/>
          <w:spacing w:val="6"/>
          <w:sz w:val="32"/>
          <w:szCs w:val="32"/>
        </w:rPr>
        <w:t>四</w:t>
      </w:r>
      <w:r>
        <w:rPr>
          <w:rFonts w:hAnsi="黑体" w:eastAsia="黑体"/>
          <w:spacing w:val="6"/>
          <w:sz w:val="32"/>
          <w:szCs w:val="32"/>
        </w:rPr>
        <w:t>条</w:t>
      </w:r>
      <w:r>
        <w:rPr>
          <w:spacing w:val="6"/>
          <w:sz w:val="32"/>
          <w:szCs w:val="32"/>
        </w:rPr>
        <w:t xml:space="preserve">  </w:t>
      </w:r>
      <w:r>
        <w:rPr>
          <w:rFonts w:hint="eastAsia" w:ascii="仿宋_GB2312" w:eastAsia="仿宋_GB2312"/>
          <w:spacing w:val="6"/>
          <w:sz w:val="32"/>
          <w:szCs w:val="32"/>
        </w:rPr>
        <w:t>本办法自发布之日起施行，试行时间三年。</w:t>
      </w:r>
    </w:p>
    <w:p>
      <w:pPr>
        <w:spacing w:line="600" w:lineRule="exact"/>
        <w:rPr>
          <w:rFonts w:ascii="仿宋_GB2312" w:eastAsia="仿宋_GB2312"/>
          <w:sz w:val="32"/>
          <w:szCs w:val="32"/>
        </w:rPr>
      </w:pPr>
    </w:p>
    <w:p>
      <w:pPr>
        <w:adjustRightInd w:val="0"/>
        <w:snapToGrid w:val="0"/>
        <w:spacing w:line="600" w:lineRule="exact"/>
        <w:ind w:firstLine="664" w:firstLineChars="200"/>
        <w:rPr>
          <w:rFonts w:ascii="仿宋_GB2312" w:hAnsi="Calibri" w:eastAsia="仿宋_GB2312" w:cs="Times New Roman"/>
          <w:spacing w:val="6"/>
          <w:sz w:val="32"/>
          <w:szCs w:val="32"/>
        </w:rPr>
      </w:pPr>
      <w:r>
        <w:rPr>
          <w:rFonts w:hint="eastAsia" w:ascii="仿宋_GB2312" w:hAnsi="Calibri" w:eastAsia="仿宋_GB2312" w:cs="Times New Roman"/>
          <w:spacing w:val="6"/>
          <w:sz w:val="32"/>
          <w:szCs w:val="32"/>
        </w:rPr>
        <w:t xml:space="preserve">附件：1. </w:t>
      </w:r>
      <w:r>
        <w:rPr>
          <w:rFonts w:hint="eastAsia" w:ascii="仿宋_GB2312" w:eastAsia="仿宋_GB2312"/>
          <w:spacing w:val="6"/>
          <w:sz w:val="32"/>
          <w:szCs w:val="32"/>
        </w:rPr>
        <w:t>东区</w:t>
      </w:r>
      <w:r>
        <w:rPr>
          <w:rFonts w:hint="eastAsia" w:ascii="仿宋_GB2312" w:hAnsi="仿宋_GB2312" w:eastAsia="仿宋_GB2312"/>
          <w:spacing w:val="6"/>
          <w:sz w:val="32"/>
          <w:szCs w:val="32"/>
        </w:rPr>
        <w:t>产业公共服务平台认定</w:t>
      </w:r>
      <w:r>
        <w:rPr>
          <w:rFonts w:hint="eastAsia" w:ascii="仿宋_GB2312" w:eastAsia="仿宋_GB2312"/>
          <w:spacing w:val="6"/>
          <w:sz w:val="32"/>
          <w:szCs w:val="32"/>
        </w:rPr>
        <w:t>申请表</w:t>
      </w:r>
    </w:p>
    <w:p>
      <w:pPr>
        <w:numPr>
          <w:ilvl w:val="0"/>
          <w:numId w:val="1"/>
        </w:numPr>
        <w:adjustRightInd w:val="0"/>
        <w:snapToGrid w:val="0"/>
        <w:spacing w:line="600" w:lineRule="exact"/>
        <w:ind w:firstLine="1660" w:firstLineChars="500"/>
        <w:rPr>
          <w:rFonts w:hint="eastAsia" w:ascii="仿宋_GB2312" w:hAnsi="Calibri" w:eastAsia="仿宋_GB2312" w:cs="Times New Roman"/>
          <w:sz w:val="24"/>
        </w:rPr>
      </w:pPr>
      <w:r>
        <w:rPr>
          <w:rFonts w:hint="eastAsia" w:ascii="仿宋_GB2312" w:eastAsia="仿宋_GB2312"/>
          <w:spacing w:val="6"/>
          <w:sz w:val="32"/>
          <w:szCs w:val="32"/>
        </w:rPr>
        <w:t>申请认定东区产业公共服务平台承诺书</w:t>
      </w:r>
      <w:r>
        <w:rPr>
          <w:rFonts w:hint="eastAsia" w:ascii="仿宋_GB2312" w:hAnsi="Calibri" w:eastAsia="仿宋_GB2312" w:cs="Times New Roman"/>
          <w:sz w:val="24"/>
        </w:rPr>
        <w:t xml:space="preserve"> </w:t>
      </w:r>
    </w:p>
    <w:p>
      <w:pPr>
        <w:adjustRightInd w:val="0"/>
        <w:snapToGrid w:val="0"/>
        <w:spacing w:line="540" w:lineRule="exact"/>
        <w:ind w:firstLine="5312" w:firstLineChars="1600"/>
        <w:rPr>
          <w:rFonts w:hint="eastAsia" w:ascii="仿宋_GB2312"/>
          <w:color w:val="FF0000"/>
          <w:spacing w:val="6"/>
          <w:sz w:val="32"/>
          <w:szCs w:val="32"/>
          <w:lang w:eastAsia="zh-CN"/>
        </w:rPr>
      </w:pPr>
    </w:p>
    <w:p>
      <w:pPr>
        <w:adjustRightInd w:val="0"/>
        <w:snapToGrid w:val="0"/>
        <w:spacing w:line="600" w:lineRule="exact"/>
        <w:ind w:firstLine="3984" w:firstLineChars="1200"/>
        <w:rPr>
          <w:rFonts w:hint="eastAsia" w:ascii="仿宋_GB2312" w:hAnsi="仿宋_GB2312" w:eastAsia="仿宋_GB2312"/>
          <w:spacing w:val="6"/>
          <w:sz w:val="32"/>
          <w:szCs w:val="32"/>
          <w:lang w:eastAsia="zh-CN"/>
        </w:rPr>
      </w:pPr>
      <w:r>
        <w:rPr>
          <w:rFonts w:hint="eastAsia" w:ascii="仿宋_GB2312" w:hAnsi="仿宋_GB2312" w:eastAsia="仿宋_GB2312"/>
          <w:spacing w:val="6"/>
          <w:sz w:val="32"/>
          <w:szCs w:val="32"/>
          <w:lang w:eastAsia="zh-CN"/>
        </w:rPr>
        <w:t>中山市人民政府东区办事处</w:t>
      </w:r>
    </w:p>
    <w:p>
      <w:pPr>
        <w:adjustRightInd w:val="0"/>
        <w:snapToGrid w:val="0"/>
        <w:spacing w:line="600" w:lineRule="exact"/>
        <w:ind w:firstLine="4648" w:firstLineChars="1400"/>
        <w:rPr>
          <w:rFonts w:hint="eastAsia" w:ascii="仿宋_GB2312" w:hAnsi="仿宋_GB2312" w:eastAsia="仿宋_GB2312"/>
          <w:spacing w:val="6"/>
          <w:sz w:val="32"/>
          <w:szCs w:val="32"/>
          <w:lang w:val="en-US" w:eastAsia="zh-CN"/>
        </w:rPr>
      </w:pPr>
      <w:bookmarkStart w:id="0" w:name="_GoBack"/>
      <w:bookmarkEnd w:id="0"/>
      <w:r>
        <w:rPr>
          <w:rFonts w:hint="eastAsia" w:ascii="仿宋_GB2312" w:hAnsi="仿宋_GB2312" w:eastAsia="仿宋_GB2312"/>
          <w:spacing w:val="6"/>
          <w:sz w:val="32"/>
          <w:szCs w:val="32"/>
          <w:lang w:val="en-US" w:eastAsia="zh-CN"/>
        </w:rPr>
        <w:t>2018年9月19日</w:t>
      </w:r>
    </w:p>
    <w:p>
      <w:pPr>
        <w:adjustRightInd w:val="0"/>
        <w:snapToGrid w:val="0"/>
        <w:spacing w:line="600" w:lineRule="exact"/>
        <w:ind w:firstLine="664" w:firstLineChars="200"/>
        <w:rPr>
          <w:rFonts w:hint="eastAsia" w:ascii="仿宋_GB2312" w:hAnsi="仿宋_GB2312" w:eastAsia="仿宋_GB2312"/>
          <w:spacing w:val="6"/>
          <w:sz w:val="32"/>
          <w:szCs w:val="32"/>
        </w:rPr>
      </w:pPr>
    </w:p>
    <w:p>
      <w:pPr>
        <w:adjustRightInd w:val="0"/>
        <w:snapToGrid w:val="0"/>
        <w:spacing w:line="600" w:lineRule="exact"/>
        <w:ind w:firstLine="1200" w:firstLineChars="500"/>
        <w:rPr>
          <w:rFonts w:ascii="仿宋_GB2312" w:hAnsi="Calibri" w:eastAsia="仿宋_GB2312" w:cs="Times New Roman"/>
          <w:sz w:val="24"/>
        </w:rPr>
      </w:pPr>
    </w:p>
    <w:p>
      <w:pPr>
        <w:adjustRightInd w:val="0"/>
        <w:snapToGrid w:val="0"/>
        <w:spacing w:line="600" w:lineRule="exact"/>
        <w:ind w:firstLine="1200" w:firstLineChars="500"/>
        <w:rPr>
          <w:rFonts w:ascii="仿宋_GB2312" w:hAnsi="Calibri" w:eastAsia="仿宋_GB2312" w:cs="Times New Roman"/>
          <w:sz w:val="24"/>
        </w:rPr>
      </w:pPr>
    </w:p>
    <w:p>
      <w:pPr>
        <w:adjustRightInd w:val="0"/>
        <w:snapToGrid w:val="0"/>
        <w:spacing w:line="600" w:lineRule="exact"/>
        <w:ind w:firstLine="1200" w:firstLineChars="500"/>
        <w:rPr>
          <w:rFonts w:ascii="仿宋_GB2312" w:hAnsi="Calibri" w:eastAsia="仿宋_GB2312" w:cs="Times New Roman"/>
          <w:sz w:val="24"/>
        </w:rPr>
      </w:pPr>
    </w:p>
    <w:p>
      <w:pPr>
        <w:adjustRightInd w:val="0"/>
        <w:snapToGrid w:val="0"/>
        <w:spacing w:line="600" w:lineRule="exact"/>
        <w:ind w:firstLine="1200" w:firstLineChars="500"/>
        <w:rPr>
          <w:rFonts w:ascii="仿宋_GB2312" w:hAnsi="Calibri" w:eastAsia="仿宋_GB2312" w:cs="Times New Roman"/>
          <w:sz w:val="24"/>
        </w:rPr>
      </w:pPr>
    </w:p>
    <w:p>
      <w:pPr>
        <w:adjustRightInd w:val="0"/>
        <w:snapToGrid w:val="0"/>
        <w:spacing w:line="600" w:lineRule="exact"/>
        <w:ind w:firstLine="1200" w:firstLineChars="500"/>
        <w:rPr>
          <w:rFonts w:ascii="仿宋_GB2312" w:hAnsi="Calibri" w:eastAsia="仿宋_GB2312" w:cs="Times New Roman"/>
          <w:sz w:val="24"/>
        </w:rPr>
      </w:pPr>
    </w:p>
    <w:p>
      <w:pPr>
        <w:adjustRightInd w:val="0"/>
        <w:snapToGrid w:val="0"/>
        <w:spacing w:line="600" w:lineRule="exact"/>
        <w:ind w:firstLine="1200" w:firstLineChars="500"/>
        <w:rPr>
          <w:rFonts w:ascii="仿宋_GB2312" w:hAnsi="Calibri" w:eastAsia="仿宋_GB2312" w:cs="Times New Roman"/>
          <w:sz w:val="24"/>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w:t>
      </w:r>
      <w:r>
        <w:rPr>
          <w:rFonts w:ascii="Calibri" w:hAnsi="Calibri" w:eastAsia="黑体" w:cs="Times New Roman"/>
          <w:sz w:val="32"/>
          <w:szCs w:val="32"/>
        </w:rPr>
        <w:t xml:space="preserve">2 </w:t>
      </w:r>
      <w:r>
        <w:rPr>
          <w:rFonts w:hint="eastAsia" w:ascii="黑体" w:hAnsi="黑体" w:eastAsia="黑体" w:cs="Times New Roman"/>
          <w:sz w:val="32"/>
          <w:szCs w:val="32"/>
        </w:rPr>
        <w:t xml:space="preserve">                                                                                                                                                                                                                                                                                                                                                                                                                                                                                                                                                                                                                                                                                                                                                                                                                                                                                                                                                                                                                                                                                                                                                                                                                                                                                                                                                                                                                                                                                                                                                                                                                                                                                                                                                                                                                                                                                                                                                                                                                                                                                                                                                                                                                                                                                                                                                                                                                                                                                                                                                                                                                                                                                                                                                                                                                                                                                                                                                                                                                                                                                                                                                                                                                                                                                                                                                                                                                                                                                                                                                                                                                                                                                                                                                                                            </w:t>
      </w:r>
    </w:p>
    <w:p>
      <w:pPr>
        <w:spacing w:line="600" w:lineRule="exact"/>
        <w:jc w:val="center"/>
        <w:rPr>
          <w:rFonts w:ascii="Calibri" w:hAnsi="Calibri" w:eastAsia="华康简标题宋" w:cs="Times New Roman"/>
          <w:sz w:val="42"/>
          <w:szCs w:val="42"/>
        </w:rPr>
      </w:pPr>
    </w:p>
    <w:p>
      <w:pPr>
        <w:spacing w:line="600" w:lineRule="exact"/>
        <w:jc w:val="center"/>
        <w:rPr>
          <w:rFonts w:ascii="宋体" w:hAnsi="宋体" w:eastAsia="宋体" w:cs="Times New Roman"/>
          <w:b/>
          <w:sz w:val="44"/>
          <w:szCs w:val="44"/>
        </w:rPr>
      </w:pPr>
      <w:r>
        <w:rPr>
          <w:rFonts w:hint="eastAsia" w:asciiTheme="majorEastAsia" w:hAnsiTheme="majorEastAsia" w:eastAsiaTheme="majorEastAsia"/>
          <w:b/>
          <w:spacing w:val="6"/>
          <w:sz w:val="44"/>
          <w:szCs w:val="44"/>
        </w:rPr>
        <w:t>申请认定东区产业公共服务平台承诺书</w:t>
      </w:r>
    </w:p>
    <w:p>
      <w:pPr>
        <w:spacing w:line="600" w:lineRule="exact"/>
        <w:rPr>
          <w:rFonts w:ascii="Calibri" w:hAnsi="Calibri" w:eastAsia="华康简标题宋" w:cs="Times New Roman"/>
          <w:sz w:val="42"/>
          <w:szCs w:val="42"/>
        </w:rPr>
      </w:pPr>
    </w:p>
    <w:p>
      <w:pPr>
        <w:widowControl/>
        <w:overflowPunct w:val="0"/>
        <w:topLinePunct/>
        <w:adjustRightInd w:val="0"/>
        <w:snapToGrid w:val="0"/>
        <w:spacing w:line="600" w:lineRule="exact"/>
        <w:rPr>
          <w:rFonts w:ascii="仿宋_GB2312" w:hAnsi="Calibri" w:eastAsia="仿宋_GB2312" w:cs="Times New Roman"/>
          <w:sz w:val="32"/>
          <w:szCs w:val="32"/>
        </w:rPr>
      </w:pPr>
      <w:r>
        <w:rPr>
          <w:rFonts w:hint="eastAsia" w:ascii="仿宋_GB2312" w:hAnsi="Calibri" w:eastAsia="仿宋_GB2312" w:cs="Times New Roman"/>
          <w:sz w:val="32"/>
          <w:szCs w:val="32"/>
        </w:rPr>
        <w:t>东区办事处：</w:t>
      </w:r>
    </w:p>
    <w:p>
      <w:pPr>
        <w:widowControl/>
        <w:overflowPunct w:val="0"/>
        <w:topLinePunct/>
        <w:adjustRightInd w:val="0"/>
        <w:snapToGrid w:val="0"/>
        <w:spacing w:line="600" w:lineRule="exact"/>
        <w:ind w:firstLine="600"/>
        <w:rPr>
          <w:rFonts w:ascii="仿宋_GB2312" w:hAnsi="Calibri" w:eastAsia="仿宋_GB2312" w:cs="Times New Roman"/>
          <w:sz w:val="32"/>
          <w:szCs w:val="32"/>
        </w:rPr>
      </w:pPr>
      <w:r>
        <w:rPr>
          <w:rFonts w:hint="eastAsia" w:ascii="仿宋_GB2312" w:hAnsi="Calibri" w:eastAsia="仿宋_GB2312" w:cs="Times New Roman"/>
          <w:sz w:val="32"/>
          <w:szCs w:val="32"/>
        </w:rPr>
        <w:t>本企业已经认真研究</w:t>
      </w:r>
      <w:r>
        <w:rPr>
          <w:rFonts w:hint="eastAsia" w:ascii="仿宋_GB2312" w:hAnsi="仿宋_GB2312" w:eastAsia="仿宋_GB2312" w:cs="Times New Roman"/>
          <w:w w:val="92"/>
          <w:sz w:val="32"/>
          <w:szCs w:val="32"/>
        </w:rPr>
        <w:t>《</w:t>
      </w:r>
      <w:r>
        <w:rPr>
          <w:rFonts w:hint="eastAsia" w:ascii="仿宋_GB2312" w:eastAsia="仿宋_GB2312" w:hAnsiTheme="majorEastAsia"/>
          <w:sz w:val="32"/>
          <w:szCs w:val="32"/>
        </w:rPr>
        <w:t>中山市东区产业公共服务平台认定试行办法</w:t>
      </w:r>
      <w:r>
        <w:rPr>
          <w:rFonts w:hint="eastAsia" w:ascii="仿宋_GB2312" w:hAnsi="仿宋_GB2312" w:eastAsia="仿宋_GB2312" w:cs="Times New Roman"/>
          <w:w w:val="92"/>
          <w:sz w:val="32"/>
          <w:szCs w:val="32"/>
        </w:rPr>
        <w:t>》</w:t>
      </w:r>
      <w:r>
        <w:rPr>
          <w:rFonts w:hint="eastAsia" w:ascii="仿宋_GB2312" w:hAnsi="Calibri" w:eastAsia="仿宋_GB2312" w:cs="Times New Roman"/>
          <w:sz w:val="32"/>
          <w:szCs w:val="32"/>
        </w:rPr>
        <w:t>全部内容，接受该办法的各项要求，并承诺在</w:t>
      </w:r>
      <w:r>
        <w:rPr>
          <w:rFonts w:hint="eastAsia" w:ascii="仿宋_GB2312" w:eastAsia="仿宋_GB2312"/>
          <w:sz w:val="32"/>
          <w:szCs w:val="32"/>
        </w:rPr>
        <w:t>认定为东区产业公共服务平台之日起，</w:t>
      </w:r>
      <w:r>
        <w:rPr>
          <w:rFonts w:hint="eastAsia" w:ascii="仿宋_GB2312" w:hAnsi="Calibri" w:eastAsia="仿宋_GB2312" w:cs="Times New Roman"/>
          <w:sz w:val="32"/>
          <w:szCs w:val="32"/>
        </w:rPr>
        <w:t>5年内不将相关企业注册地址迁离东区、不改变本企业在东区的纳税义务和不减少注册资本。如有违约行为，将退缴所获扶持资金，并承担相关的法律责任。</w:t>
      </w:r>
    </w:p>
    <w:p>
      <w:pPr>
        <w:widowControl/>
        <w:overflowPunct w:val="0"/>
        <w:topLinePunct/>
        <w:adjustRightInd w:val="0"/>
        <w:snapToGrid w:val="0"/>
        <w:spacing w:line="600" w:lineRule="exact"/>
        <w:ind w:firstLine="600"/>
        <w:rPr>
          <w:rFonts w:ascii="仿宋_GB2312" w:hAnsi="Calibri" w:eastAsia="仿宋_GB2312" w:cs="Times New Roman"/>
          <w:sz w:val="32"/>
          <w:szCs w:val="32"/>
        </w:rPr>
      </w:pPr>
      <w:r>
        <w:rPr>
          <w:rFonts w:hint="eastAsia" w:ascii="仿宋_GB2312" w:hAnsi="Calibri" w:eastAsia="仿宋_GB2312" w:cs="Times New Roman"/>
          <w:sz w:val="32"/>
          <w:szCs w:val="32"/>
        </w:rPr>
        <w:t>特此承诺。</w:t>
      </w:r>
    </w:p>
    <w:p>
      <w:pPr>
        <w:widowControl/>
        <w:overflowPunct w:val="0"/>
        <w:topLinePunct/>
        <w:adjustRightInd w:val="0"/>
        <w:snapToGrid w:val="0"/>
        <w:spacing w:line="600" w:lineRule="exact"/>
        <w:ind w:firstLine="600"/>
        <w:rPr>
          <w:rFonts w:ascii="仿宋_GB2312" w:hAnsi="Calibri" w:eastAsia="仿宋_GB2312" w:cs="Times New Roman"/>
          <w:sz w:val="32"/>
          <w:szCs w:val="32"/>
        </w:rPr>
      </w:pPr>
    </w:p>
    <w:p>
      <w:pPr>
        <w:spacing w:line="600" w:lineRule="exact"/>
        <w:rPr>
          <w:rFonts w:ascii="仿宋_GB2312" w:hAnsi="Calibri" w:eastAsia="仿宋_GB2312" w:cs="Times New Roman"/>
          <w:sz w:val="32"/>
          <w:szCs w:val="32"/>
        </w:rPr>
      </w:pPr>
    </w:p>
    <w:p>
      <w:pPr>
        <w:spacing w:line="600" w:lineRule="exact"/>
        <w:rPr>
          <w:rFonts w:ascii="仿宋_GB2312" w:hAnsi="Calibri" w:eastAsia="仿宋_GB2312" w:cs="Times New Roman"/>
          <w:sz w:val="32"/>
          <w:szCs w:val="32"/>
        </w:rPr>
      </w:pPr>
    </w:p>
    <w:p>
      <w:pPr>
        <w:spacing w:line="600" w:lineRule="exact"/>
        <w:ind w:right="620" w:firstLine="4320" w:firstLineChars="1350"/>
        <w:rPr>
          <w:rFonts w:ascii="仿宋_GB2312" w:hAnsi="Calibri" w:eastAsia="仿宋_GB2312" w:cs="Times New Roman"/>
          <w:sz w:val="32"/>
          <w:szCs w:val="32"/>
        </w:rPr>
      </w:pPr>
      <w:r>
        <w:rPr>
          <w:rFonts w:hint="eastAsia" w:ascii="仿宋_GB2312" w:hAnsi="Calibri" w:eastAsia="仿宋_GB2312" w:cs="Times New Roman"/>
          <w:sz w:val="32"/>
          <w:szCs w:val="32"/>
        </w:rPr>
        <w:t>法人代表（单位公章）：</w:t>
      </w:r>
    </w:p>
    <w:p>
      <w:pPr>
        <w:adjustRightInd w:val="0"/>
        <w:snapToGrid w:val="0"/>
        <w:spacing w:line="336" w:lineRule="auto"/>
        <w:ind w:firstLine="5280" w:firstLineChars="1650"/>
        <w:rPr>
          <w:rFonts w:ascii="仿宋_GB2312" w:eastAsia="仿宋_GB2312"/>
          <w:sz w:val="32"/>
          <w:szCs w:val="32"/>
        </w:rPr>
      </w:pPr>
      <w:r>
        <w:rPr>
          <w:rFonts w:hint="eastAsia" w:ascii="仿宋_GB2312" w:hAnsi="Calibri" w:eastAsia="仿宋_GB2312" w:cs="Times New Roman"/>
          <w:sz w:val="32"/>
          <w:szCs w:val="32"/>
        </w:rPr>
        <w:t>年   月   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5163"/>
      <w:docPartObj>
        <w:docPartGallery w:val="autotext"/>
      </w:docPartObj>
    </w:sdtPr>
    <w:sdtContent>
      <w:p>
        <w:pPr>
          <w:pStyle w:val="2"/>
          <w:jc w:val="right"/>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E18C4"/>
    <w:multiLevelType w:val="singleLevel"/>
    <w:tmpl w:val="6F4E18C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2D20"/>
    <w:rsid w:val="0000738A"/>
    <w:rsid w:val="000106A4"/>
    <w:rsid w:val="00011C78"/>
    <w:rsid w:val="00037B47"/>
    <w:rsid w:val="0005775D"/>
    <w:rsid w:val="00070855"/>
    <w:rsid w:val="00077752"/>
    <w:rsid w:val="000F2F23"/>
    <w:rsid w:val="00127FBD"/>
    <w:rsid w:val="001372F3"/>
    <w:rsid w:val="00152638"/>
    <w:rsid w:val="00157EEA"/>
    <w:rsid w:val="00185640"/>
    <w:rsid w:val="001D713D"/>
    <w:rsid w:val="001E0076"/>
    <w:rsid w:val="0020404A"/>
    <w:rsid w:val="00213F01"/>
    <w:rsid w:val="0021580E"/>
    <w:rsid w:val="00215DA3"/>
    <w:rsid w:val="002333B1"/>
    <w:rsid w:val="002649E9"/>
    <w:rsid w:val="00296A31"/>
    <w:rsid w:val="00296C1D"/>
    <w:rsid w:val="002A4C40"/>
    <w:rsid w:val="002A5098"/>
    <w:rsid w:val="002B3A16"/>
    <w:rsid w:val="002C4839"/>
    <w:rsid w:val="003053B8"/>
    <w:rsid w:val="0034252B"/>
    <w:rsid w:val="00346C80"/>
    <w:rsid w:val="003575BA"/>
    <w:rsid w:val="00363081"/>
    <w:rsid w:val="00370BF3"/>
    <w:rsid w:val="00370DC3"/>
    <w:rsid w:val="00377325"/>
    <w:rsid w:val="0039056E"/>
    <w:rsid w:val="003C3E5F"/>
    <w:rsid w:val="003E6929"/>
    <w:rsid w:val="00400976"/>
    <w:rsid w:val="004401A9"/>
    <w:rsid w:val="00461CD7"/>
    <w:rsid w:val="0046703B"/>
    <w:rsid w:val="00470508"/>
    <w:rsid w:val="00474B09"/>
    <w:rsid w:val="004904B3"/>
    <w:rsid w:val="00492139"/>
    <w:rsid w:val="004A10E7"/>
    <w:rsid w:val="004A3165"/>
    <w:rsid w:val="004B74BA"/>
    <w:rsid w:val="004C5DAC"/>
    <w:rsid w:val="004D27A4"/>
    <w:rsid w:val="0050703A"/>
    <w:rsid w:val="0053269E"/>
    <w:rsid w:val="00562AFB"/>
    <w:rsid w:val="005B54C0"/>
    <w:rsid w:val="005B6C07"/>
    <w:rsid w:val="00605408"/>
    <w:rsid w:val="006178E7"/>
    <w:rsid w:val="00621BEC"/>
    <w:rsid w:val="00641A7D"/>
    <w:rsid w:val="00686D73"/>
    <w:rsid w:val="006B0CE1"/>
    <w:rsid w:val="006C5E9C"/>
    <w:rsid w:val="006D0910"/>
    <w:rsid w:val="006E00D6"/>
    <w:rsid w:val="00711CBF"/>
    <w:rsid w:val="00715A36"/>
    <w:rsid w:val="007319C9"/>
    <w:rsid w:val="00762BD8"/>
    <w:rsid w:val="00777253"/>
    <w:rsid w:val="0078331A"/>
    <w:rsid w:val="00790603"/>
    <w:rsid w:val="007951F2"/>
    <w:rsid w:val="007D6C6D"/>
    <w:rsid w:val="00827500"/>
    <w:rsid w:val="00835CE7"/>
    <w:rsid w:val="008474C2"/>
    <w:rsid w:val="008873DA"/>
    <w:rsid w:val="008B1EEB"/>
    <w:rsid w:val="008B41AF"/>
    <w:rsid w:val="008D2B28"/>
    <w:rsid w:val="008E3515"/>
    <w:rsid w:val="008F3CE1"/>
    <w:rsid w:val="00904CBC"/>
    <w:rsid w:val="00904EFF"/>
    <w:rsid w:val="00906A73"/>
    <w:rsid w:val="009133AA"/>
    <w:rsid w:val="00914553"/>
    <w:rsid w:val="00921C20"/>
    <w:rsid w:val="00926DEB"/>
    <w:rsid w:val="00955A02"/>
    <w:rsid w:val="0097614D"/>
    <w:rsid w:val="009919E2"/>
    <w:rsid w:val="00997F64"/>
    <w:rsid w:val="009E580E"/>
    <w:rsid w:val="00A10CB8"/>
    <w:rsid w:val="00A1582C"/>
    <w:rsid w:val="00A221B4"/>
    <w:rsid w:val="00A25501"/>
    <w:rsid w:val="00A30B62"/>
    <w:rsid w:val="00A60023"/>
    <w:rsid w:val="00A60FEF"/>
    <w:rsid w:val="00A70EA5"/>
    <w:rsid w:val="00A800DE"/>
    <w:rsid w:val="00A83E2C"/>
    <w:rsid w:val="00A8448E"/>
    <w:rsid w:val="00A96CF8"/>
    <w:rsid w:val="00AB4AEE"/>
    <w:rsid w:val="00AB5480"/>
    <w:rsid w:val="00AB6C09"/>
    <w:rsid w:val="00AE09C5"/>
    <w:rsid w:val="00AE2822"/>
    <w:rsid w:val="00B04256"/>
    <w:rsid w:val="00B04A81"/>
    <w:rsid w:val="00B405A3"/>
    <w:rsid w:val="00B6357F"/>
    <w:rsid w:val="00B65375"/>
    <w:rsid w:val="00B75B57"/>
    <w:rsid w:val="00B83D66"/>
    <w:rsid w:val="00BA7877"/>
    <w:rsid w:val="00BC0A8B"/>
    <w:rsid w:val="00BC67FC"/>
    <w:rsid w:val="00BD1D01"/>
    <w:rsid w:val="00BD4097"/>
    <w:rsid w:val="00C26BD2"/>
    <w:rsid w:val="00C33FBA"/>
    <w:rsid w:val="00C629A8"/>
    <w:rsid w:val="00C63537"/>
    <w:rsid w:val="00CB6470"/>
    <w:rsid w:val="00D25473"/>
    <w:rsid w:val="00D32D31"/>
    <w:rsid w:val="00D52D20"/>
    <w:rsid w:val="00D74C5E"/>
    <w:rsid w:val="00D769EB"/>
    <w:rsid w:val="00DA7C7B"/>
    <w:rsid w:val="00DB1B71"/>
    <w:rsid w:val="00DD703E"/>
    <w:rsid w:val="00DF4634"/>
    <w:rsid w:val="00DF5BDF"/>
    <w:rsid w:val="00E15744"/>
    <w:rsid w:val="00E20E6A"/>
    <w:rsid w:val="00E405A0"/>
    <w:rsid w:val="00EA68D7"/>
    <w:rsid w:val="00EC23DA"/>
    <w:rsid w:val="00ED36B3"/>
    <w:rsid w:val="00EF5D24"/>
    <w:rsid w:val="00EF6D92"/>
    <w:rsid w:val="00F02303"/>
    <w:rsid w:val="00F27040"/>
    <w:rsid w:val="00F36EAF"/>
    <w:rsid w:val="00F51C09"/>
    <w:rsid w:val="00F60F22"/>
    <w:rsid w:val="00F75037"/>
    <w:rsid w:val="00F914EC"/>
    <w:rsid w:val="00FC2E9D"/>
    <w:rsid w:val="00FC37BB"/>
    <w:rsid w:val="00FF343B"/>
    <w:rsid w:val="177662C9"/>
    <w:rsid w:val="5FAB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uiPriority w:val="99"/>
    <w:rPr>
      <w:sz w:val="18"/>
      <w:szCs w:val="18"/>
    </w:rPr>
  </w:style>
  <w:style w:type="paragraph" w:customStyle="1" w:styleId="9">
    <w:name w:val="列出段落1"/>
    <w:basedOn w:val="1"/>
    <w:qFormat/>
    <w:uiPriority w:val="34"/>
    <w:pPr>
      <w:ind w:firstLine="420" w:firstLineChars="200"/>
    </w:pPr>
    <w:rPr>
      <w:rFonts w:ascii="Calibri" w:hAnsi="Calibri" w:eastAsia="宋体" w:cs="黑体"/>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5043A-86F5-493C-8458-053428441A50}">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997</Words>
  <Characters>5685</Characters>
  <Lines>47</Lines>
  <Paragraphs>13</Paragraphs>
  <TotalTime>0</TotalTime>
  <ScaleCrop>false</ScaleCrop>
  <LinksUpToDate>false</LinksUpToDate>
  <CharactersWithSpaces>6669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2018-09-05T09:41:00Z</dcterms:created>
  <dc:creator>经信局</dc:creator>
  <cp:lastModifiedBy>Jane</cp:lastModifiedBy>
  <cp:lastPrinted>2018-08-29T00:47:00Z</cp:lastPrinted>
  <dcterms:modified xsi:type="dcterms:W3CDTF">2018-09-19T02:06:57Z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